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51CAD">
      <w:pPr>
        <w:spacing w:line="720" w:lineRule="auto"/>
        <w:jc w:val="center"/>
        <w:rPr>
          <w:rFonts w:hint="eastAsia" w:ascii="宋体" w:hAnsi="宋体" w:eastAsia="宋体"/>
          <w:b/>
          <w:sz w:val="28"/>
          <w:szCs w:val="28"/>
        </w:rPr>
      </w:pPr>
      <w:r>
        <w:rPr>
          <w:rFonts w:hint="eastAsia" w:ascii="宋体" w:hAnsi="宋体" w:eastAsia="宋体"/>
          <w:b/>
          <w:sz w:val="28"/>
          <w:szCs w:val="28"/>
        </w:rPr>
        <w:t>华东师范大学生命科学学院研究生奖学金评定加分细则</w:t>
      </w:r>
    </w:p>
    <w:p w14:paraId="537C6905">
      <w:pPr>
        <w:spacing w:line="360" w:lineRule="auto"/>
        <w:jc w:val="center"/>
        <w:rPr>
          <w:rFonts w:hint="eastAsia" w:ascii="宋体" w:hAnsi="宋体" w:eastAsia="宋体"/>
          <w:sz w:val="24"/>
        </w:rPr>
      </w:pPr>
      <w:r>
        <w:rPr>
          <w:rFonts w:hint="eastAsia" w:ascii="宋体" w:hAnsi="宋体" w:eastAsia="宋体"/>
          <w:sz w:val="24"/>
        </w:rPr>
        <w:t>（2025年11月修订）</w:t>
      </w:r>
    </w:p>
    <w:p w14:paraId="2EE5FA95">
      <w:pPr>
        <w:spacing w:line="360" w:lineRule="auto"/>
        <w:jc w:val="center"/>
        <w:rPr>
          <w:rFonts w:hint="eastAsia" w:ascii="宋体" w:hAnsi="宋体" w:eastAsia="宋体"/>
          <w:sz w:val="24"/>
        </w:rPr>
      </w:pPr>
    </w:p>
    <w:p w14:paraId="3B881D6E">
      <w:pPr>
        <w:spacing w:line="360" w:lineRule="auto"/>
        <w:ind w:firstLine="480" w:firstLineChars="200"/>
        <w:rPr>
          <w:rFonts w:hint="eastAsia" w:ascii="宋体" w:hAnsi="宋体" w:eastAsia="宋体"/>
          <w:sz w:val="24"/>
        </w:rPr>
      </w:pPr>
      <w:r>
        <w:rPr>
          <w:rFonts w:hint="eastAsia" w:ascii="宋体" w:hAnsi="宋体" w:eastAsia="宋体"/>
          <w:sz w:val="24"/>
        </w:rPr>
        <w:t>为配合学校卓越育人工作的战略部署，本着奖励表彰品学兼优的全日制研究生的原则，鼓励学习成绩优异、科研能力显著、发展潜力突出的优秀研究生，同时进一步完善研究生国家奖学金的评定程序，以适应“破五唯”背景下的研究生创新能力的培养，特制订学院研究生奖学金评定加分细则。</w:t>
      </w:r>
    </w:p>
    <w:p w14:paraId="51D4687D">
      <w:pPr>
        <w:spacing w:line="360" w:lineRule="auto"/>
        <w:ind w:firstLine="480" w:firstLineChars="200"/>
        <w:rPr>
          <w:rFonts w:hint="eastAsia" w:ascii="宋体" w:hAnsi="宋体" w:eastAsia="宋体" w:cs="Segoe UI"/>
          <w:sz w:val="24"/>
        </w:rPr>
      </w:pPr>
      <w:r>
        <w:rPr>
          <w:rFonts w:hint="eastAsia" w:ascii="宋体" w:hAnsi="宋体" w:eastAsia="宋体" w:cs="Segoe UI"/>
          <w:sz w:val="24"/>
        </w:rPr>
        <w:t>奖学金的评定成绩分为学业成果（博士</w:t>
      </w:r>
      <w:r>
        <w:rPr>
          <w:rFonts w:ascii="宋体" w:hAnsi="宋体" w:eastAsia="宋体" w:cs="Segoe UI"/>
          <w:sz w:val="24"/>
        </w:rPr>
        <w:t>30</w:t>
      </w:r>
      <w:r>
        <w:rPr>
          <w:rFonts w:hint="eastAsia" w:ascii="宋体" w:hAnsi="宋体" w:eastAsia="宋体" w:cs="Segoe UI"/>
          <w:sz w:val="24"/>
        </w:rPr>
        <w:t>分/硕士40分）、社会活动（博士10分/硕士15分）、科研潜力/综合表现（博士60分/硕士45分）三个部分。其中学业成果、社会活动的分值将根据申请人提供的材料按照以下具体细则计算后得出；科研潜力/综合表现通过面试答辩，由学院成立答辩评审小组现场打分决定。</w:t>
      </w:r>
    </w:p>
    <w:p w14:paraId="68DFE7D5">
      <w:pPr>
        <w:spacing w:line="360" w:lineRule="auto"/>
        <w:rPr>
          <w:rFonts w:hint="eastAsia" w:ascii="宋体" w:hAnsi="宋体" w:eastAsia="宋体" w:cs="Segoe UI"/>
          <w:b/>
          <w:sz w:val="24"/>
        </w:rPr>
      </w:pPr>
    </w:p>
    <w:p w14:paraId="3811D575">
      <w:pPr>
        <w:numPr>
          <w:ilvl w:val="0"/>
          <w:numId w:val="1"/>
        </w:numPr>
        <w:spacing w:line="360" w:lineRule="auto"/>
        <w:rPr>
          <w:rFonts w:hint="eastAsia" w:ascii="宋体" w:hAnsi="宋体" w:eastAsia="宋体" w:cs="Segoe UI"/>
          <w:b/>
          <w:sz w:val="24"/>
        </w:rPr>
      </w:pPr>
      <w:r>
        <w:rPr>
          <w:rFonts w:hint="eastAsia" w:ascii="宋体" w:hAnsi="宋体" w:eastAsia="宋体" w:cs="Segoe UI"/>
          <w:b/>
          <w:sz w:val="24"/>
        </w:rPr>
        <w:t>学业成果（博士3</w:t>
      </w:r>
      <w:r>
        <w:rPr>
          <w:rFonts w:ascii="宋体" w:hAnsi="宋体" w:eastAsia="宋体" w:cs="Segoe UI"/>
          <w:b/>
          <w:sz w:val="24"/>
        </w:rPr>
        <w:t>0</w:t>
      </w:r>
      <w:r>
        <w:rPr>
          <w:rFonts w:hint="eastAsia" w:ascii="宋体" w:hAnsi="宋体" w:eastAsia="宋体" w:cs="Segoe UI"/>
          <w:b/>
          <w:sz w:val="24"/>
        </w:rPr>
        <w:t>分、硕士40分）</w:t>
      </w:r>
    </w:p>
    <w:p w14:paraId="7F971D49">
      <w:pPr>
        <w:spacing w:line="360" w:lineRule="auto"/>
        <w:ind w:firstLine="480" w:firstLineChars="200"/>
        <w:rPr>
          <w:rFonts w:hint="eastAsia" w:ascii="宋体" w:hAnsi="宋体" w:eastAsia="宋体" w:cs="Segoe UI"/>
          <w:sz w:val="24"/>
        </w:rPr>
      </w:pPr>
      <w:r>
        <w:rPr>
          <w:rFonts w:hint="eastAsia" w:ascii="宋体" w:hAnsi="宋体" w:eastAsia="宋体" w:cs="Segoe UI"/>
          <w:sz w:val="24"/>
        </w:rPr>
        <w:t>硕士学业成果包含科研成果（30分）和课程成绩（10分）两个部分，博士学业成果仅包含科研成果（30分），无课程成绩加分。</w:t>
      </w:r>
    </w:p>
    <w:p w14:paraId="14E37FB1">
      <w:pPr>
        <w:spacing w:line="360" w:lineRule="auto"/>
        <w:rPr>
          <w:rFonts w:hint="eastAsia" w:ascii="宋体" w:hAnsi="宋体" w:eastAsia="宋体" w:cs="Segoe UI"/>
          <w:b/>
          <w:sz w:val="24"/>
        </w:rPr>
      </w:pPr>
      <w:r>
        <w:rPr>
          <w:rFonts w:hint="eastAsia" w:ascii="宋体" w:hAnsi="宋体" w:eastAsia="宋体" w:cs="Segoe UI"/>
          <w:b/>
          <w:bCs/>
          <w:sz w:val="24"/>
        </w:rPr>
        <w:t>（一）科研成果（30分）</w:t>
      </w:r>
    </w:p>
    <w:p w14:paraId="4E6414E1">
      <w:pPr>
        <w:spacing w:line="360" w:lineRule="auto"/>
        <w:ind w:firstLine="480" w:firstLineChars="200"/>
        <w:rPr>
          <w:rFonts w:hint="eastAsia" w:ascii="宋体" w:hAnsi="宋体" w:eastAsia="宋体" w:cs="Segoe UI"/>
          <w:sz w:val="24"/>
          <w:highlight w:val="yellow"/>
        </w:rPr>
      </w:pPr>
      <w:r>
        <w:rPr>
          <w:rFonts w:hint="eastAsia" w:ascii="宋体" w:hAnsi="宋体" w:eastAsia="宋体" w:cs="Segoe UI"/>
          <w:sz w:val="24"/>
        </w:rPr>
        <w:t>科研成果包括科研论文（研究性论文）、专利、专著、学术活动以及科创竞赛。原则上，科研成果作者</w:t>
      </w:r>
      <w:r>
        <w:rPr>
          <w:rFonts w:hint="eastAsia" w:ascii="宋体" w:hAnsi="宋体" w:eastAsia="宋体" w:cs="Segoe UI"/>
          <w:b/>
          <w:sz w:val="24"/>
        </w:rPr>
        <w:t>第一单位为华东师范大学生命科学学院</w:t>
      </w:r>
      <w:r>
        <w:rPr>
          <w:rFonts w:hint="eastAsia" w:ascii="宋体" w:hAnsi="宋体" w:eastAsia="宋体" w:cs="Segoe UI"/>
          <w:sz w:val="24"/>
        </w:rPr>
        <w:t>。为鼓励创新创业、学科交叉，对第一完成单位为华东师范大学非生命科学学院的高水平研究成果，在分值基础上乘系数0.8；对华东师范大学为合作单位、非第一完成单位的高水平研究成果，在分值基础上乘系数0.6。高水平研究成果指下文中论文分区</w:t>
      </w:r>
      <w:r>
        <w:rPr>
          <w:rFonts w:hint="eastAsia" w:ascii="宋体" w:hAnsi="宋体" w:eastAsia="宋体"/>
          <w:iCs/>
          <w:sz w:val="24"/>
        </w:rPr>
        <w:t>①</w:t>
      </w:r>
      <w:r>
        <w:rPr>
          <w:rFonts w:hint="eastAsia" w:ascii="宋体" w:hAnsi="宋体" w:eastAsia="宋体"/>
          <w:kern w:val="0"/>
          <w:sz w:val="24"/>
        </w:rPr>
        <w:t>②</w:t>
      </w:r>
      <w:r>
        <w:rPr>
          <w:rFonts w:hint="eastAsia" w:ascii="宋体" w:hAnsi="宋体" w:eastAsia="宋体"/>
          <w:iCs/>
          <w:sz w:val="24"/>
        </w:rPr>
        <w:t>③三个类别。</w:t>
      </w:r>
    </w:p>
    <w:p w14:paraId="550AC5D5">
      <w:pPr>
        <w:spacing w:before="156" w:beforeLines="50" w:line="360" w:lineRule="auto"/>
        <w:ind w:left="420" w:leftChars="200"/>
        <w:rPr>
          <w:rFonts w:hint="eastAsia" w:ascii="宋体" w:hAnsi="宋体" w:eastAsia="宋体"/>
          <w:sz w:val="24"/>
        </w:rPr>
      </w:pPr>
      <w:r>
        <w:rPr>
          <w:rFonts w:hint="eastAsia" w:ascii="宋体" w:hAnsi="宋体" w:eastAsia="宋体"/>
          <w:b/>
          <w:sz w:val="24"/>
        </w:rPr>
        <w:t>1.科研论文的认定及其分值计算</w:t>
      </w:r>
      <w:r>
        <w:rPr>
          <w:rFonts w:hint="eastAsia" w:ascii="宋体" w:hAnsi="宋体" w:eastAsia="宋体"/>
          <w:b/>
          <w:bCs/>
          <w:sz w:val="24"/>
        </w:rPr>
        <w:br w:type="textWrapping"/>
      </w:r>
      <w:r>
        <w:rPr>
          <w:rFonts w:hint="eastAsia" w:ascii="宋体" w:hAnsi="宋体" w:eastAsia="宋体"/>
          <w:sz w:val="24"/>
        </w:rPr>
        <w:t>（1）科研论文以已发表（含在线发表）和接受（</w:t>
      </w:r>
      <w:r>
        <w:rPr>
          <w:rFonts w:ascii="宋体" w:hAnsi="宋体" w:eastAsia="宋体"/>
          <w:sz w:val="24"/>
        </w:rPr>
        <w:t>Accept）的SCI论文作为评定依据，非SCI期刊不作为评奖的成果</w:t>
      </w:r>
      <w:r>
        <w:rPr>
          <w:rFonts w:hint="eastAsia" w:ascii="宋体" w:hAnsi="宋体" w:eastAsia="宋体"/>
          <w:sz w:val="24"/>
        </w:rPr>
        <w:t>（入选中国科技期刊卓越行动计划的期刊除外，</w:t>
      </w:r>
      <w:r>
        <w:rPr>
          <w:rFonts w:hint="eastAsia" w:ascii="宋体" w:hAnsi="宋体" w:eastAsia="宋体" w:cs="Segoe UI"/>
          <w:b/>
          <w:sz w:val="24"/>
        </w:rPr>
        <w:t>教育学类专业标准另算</w:t>
      </w:r>
      <w:r>
        <w:rPr>
          <w:rFonts w:hint="eastAsia" w:ascii="宋体" w:hAnsi="宋体" w:eastAsia="宋体"/>
          <w:sz w:val="24"/>
        </w:rPr>
        <w:t>）。</w:t>
      </w:r>
    </w:p>
    <w:p w14:paraId="6EC2AEDD">
      <w:pPr>
        <w:spacing w:line="360" w:lineRule="auto"/>
        <w:ind w:firstLine="480" w:firstLineChars="200"/>
        <w:rPr>
          <w:rFonts w:hint="eastAsia" w:ascii="宋体" w:hAnsi="宋体" w:eastAsia="宋体"/>
          <w:sz w:val="24"/>
        </w:rPr>
      </w:pPr>
      <w:r>
        <w:rPr>
          <w:rFonts w:hint="eastAsia" w:ascii="宋体" w:hAnsi="宋体" w:eastAsia="宋体"/>
          <w:sz w:val="24"/>
        </w:rPr>
        <w:t>（2）学生提交其发表的所有科研论文，并确定其代表作（代表作需排序）；为鼓励学生发高质量科研论文，避免发表大量低层次论文，科研论文的分值只计算代表作，且硕士</w:t>
      </w:r>
      <w:r>
        <w:rPr>
          <w:rFonts w:ascii="宋体" w:hAnsi="宋体" w:eastAsia="宋体"/>
          <w:sz w:val="24"/>
        </w:rPr>
        <w:t>研究生</w:t>
      </w:r>
      <w:r>
        <w:rPr>
          <w:rFonts w:hint="eastAsia" w:ascii="宋体" w:hAnsi="宋体" w:eastAsia="宋体"/>
          <w:sz w:val="24"/>
        </w:rPr>
        <w:t>代表作数量不超过</w:t>
      </w:r>
      <w:r>
        <w:rPr>
          <w:rFonts w:ascii="宋体" w:hAnsi="宋体" w:eastAsia="宋体"/>
          <w:sz w:val="24"/>
        </w:rPr>
        <w:t>2</w:t>
      </w:r>
      <w:r>
        <w:rPr>
          <w:rFonts w:hint="eastAsia" w:ascii="宋体" w:hAnsi="宋体" w:eastAsia="宋体"/>
          <w:sz w:val="24"/>
        </w:rPr>
        <w:t>篇（含</w:t>
      </w:r>
      <w:r>
        <w:rPr>
          <w:rFonts w:ascii="宋体" w:hAnsi="宋体" w:eastAsia="宋体"/>
          <w:sz w:val="24"/>
        </w:rPr>
        <w:t>2</w:t>
      </w:r>
      <w:r>
        <w:rPr>
          <w:rFonts w:hint="eastAsia" w:ascii="宋体" w:hAnsi="宋体" w:eastAsia="宋体"/>
          <w:sz w:val="24"/>
        </w:rPr>
        <w:t>篇），博士</w:t>
      </w:r>
      <w:r>
        <w:rPr>
          <w:rFonts w:ascii="宋体" w:hAnsi="宋体" w:eastAsia="宋体"/>
          <w:sz w:val="24"/>
        </w:rPr>
        <w:t>研究生代表作数量不超过3篇（</w:t>
      </w:r>
      <w:r>
        <w:rPr>
          <w:rFonts w:hint="eastAsia" w:ascii="宋体" w:hAnsi="宋体" w:eastAsia="宋体"/>
          <w:sz w:val="24"/>
        </w:rPr>
        <w:t>含</w:t>
      </w:r>
      <w:r>
        <w:rPr>
          <w:rFonts w:ascii="宋体" w:hAnsi="宋体" w:eastAsia="宋体"/>
          <w:sz w:val="24"/>
        </w:rPr>
        <w:t>3篇）</w:t>
      </w:r>
      <w:r>
        <w:rPr>
          <w:rFonts w:hint="eastAsia" w:ascii="宋体" w:hAnsi="宋体" w:eastAsia="宋体"/>
          <w:sz w:val="24"/>
        </w:rPr>
        <w:t>，其余论文只作为参考。</w:t>
      </w:r>
    </w:p>
    <w:p w14:paraId="4BFA8152">
      <w:pPr>
        <w:spacing w:line="360" w:lineRule="auto"/>
        <w:ind w:firstLine="480" w:firstLineChars="200"/>
        <w:rPr>
          <w:rFonts w:hint="eastAsia" w:ascii="宋体" w:hAnsi="宋体" w:eastAsia="宋体"/>
          <w:sz w:val="24"/>
        </w:rPr>
      </w:pPr>
      <w:r>
        <w:rPr>
          <w:rFonts w:hint="eastAsia" w:ascii="宋体" w:hAnsi="宋体" w:eastAsia="宋体"/>
          <w:sz w:val="24"/>
        </w:rPr>
        <w:t>（3）科研</w:t>
      </w:r>
      <w:r>
        <w:rPr>
          <w:rFonts w:ascii="宋体" w:hAnsi="宋体" w:eastAsia="宋体"/>
          <w:sz w:val="24"/>
        </w:rPr>
        <w:t>论文以分区的分值作为计算依据，不考虑具体影响因子。</w:t>
      </w:r>
      <w:r>
        <w:rPr>
          <w:rFonts w:hint="eastAsia" w:ascii="宋体" w:hAnsi="宋体" w:eastAsia="宋体"/>
          <w:sz w:val="24"/>
        </w:rPr>
        <w:t>为避免学科差异，科研论文分区以中科院最新的论文分区为依据，对</w:t>
      </w:r>
      <w:r>
        <w:rPr>
          <w:rFonts w:ascii="宋体" w:hAnsi="宋体" w:eastAsia="宋体"/>
          <w:sz w:val="24"/>
        </w:rPr>
        <w:t>同一期刊在</w:t>
      </w:r>
      <w:r>
        <w:rPr>
          <w:rFonts w:hint="eastAsia" w:ascii="宋体" w:hAnsi="宋体" w:eastAsia="宋体"/>
          <w:sz w:val="24"/>
        </w:rPr>
        <w:t>大类、</w:t>
      </w:r>
      <w:r>
        <w:rPr>
          <w:rFonts w:ascii="宋体" w:hAnsi="宋体" w:eastAsia="宋体"/>
          <w:sz w:val="24"/>
        </w:rPr>
        <w:t>小类</w:t>
      </w:r>
      <w:r>
        <w:rPr>
          <w:rFonts w:hint="eastAsia" w:ascii="宋体" w:hAnsi="宋体" w:eastAsia="宋体"/>
          <w:sz w:val="24"/>
        </w:rPr>
        <w:t>以及不同版本中的分区差别，</w:t>
      </w:r>
      <w:r>
        <w:rPr>
          <w:rFonts w:ascii="宋体" w:hAnsi="宋体" w:eastAsia="宋体"/>
          <w:sz w:val="24"/>
        </w:rPr>
        <w:t>按</w:t>
      </w:r>
      <w:r>
        <w:rPr>
          <w:rFonts w:hint="eastAsia" w:ascii="宋体" w:hAnsi="宋体" w:eastAsia="宋体"/>
          <w:b/>
          <w:sz w:val="24"/>
        </w:rPr>
        <w:t>“就高不就低”</w:t>
      </w:r>
      <w:r>
        <w:rPr>
          <w:rFonts w:hint="eastAsia" w:ascii="宋体" w:hAnsi="宋体" w:eastAsia="宋体"/>
          <w:sz w:val="24"/>
        </w:rPr>
        <w:t>的原则判定分区。</w:t>
      </w:r>
    </w:p>
    <w:p w14:paraId="4EC22F7C">
      <w:pPr>
        <w:spacing w:line="360" w:lineRule="auto"/>
        <w:ind w:firstLine="482" w:firstLineChars="200"/>
        <w:rPr>
          <w:rFonts w:hint="eastAsia" w:ascii="宋体" w:hAnsi="宋体" w:eastAsia="宋体"/>
          <w:b/>
          <w:bCs/>
          <w:sz w:val="24"/>
        </w:rPr>
      </w:pPr>
      <w:r>
        <w:rPr>
          <w:rFonts w:hint="eastAsia" w:ascii="宋体" w:hAnsi="宋体" w:eastAsia="宋体"/>
          <w:b/>
          <w:bCs/>
          <w:sz w:val="24"/>
        </w:rPr>
        <w:t>各分区的分值计算标准如下：</w:t>
      </w:r>
    </w:p>
    <w:p w14:paraId="6CE2CAD3">
      <w:pPr>
        <w:spacing w:line="360" w:lineRule="auto"/>
        <w:ind w:firstLine="480" w:firstLineChars="200"/>
        <w:rPr>
          <w:rFonts w:hint="eastAsia" w:ascii="宋体" w:hAnsi="宋体" w:eastAsia="宋体"/>
          <w:sz w:val="24"/>
        </w:rPr>
      </w:pPr>
      <w:r>
        <w:rPr>
          <w:rFonts w:hint="eastAsia" w:ascii="宋体" w:hAnsi="宋体" w:eastAsia="宋体"/>
          <w:iCs/>
          <w:sz w:val="24"/>
        </w:rPr>
        <w:t>①</w:t>
      </w:r>
      <w:r>
        <w:rPr>
          <w:rFonts w:ascii="宋体" w:hAnsi="宋体" w:eastAsia="宋体"/>
          <w:i/>
          <w:sz w:val="24"/>
        </w:rPr>
        <w:t>Science</w:t>
      </w:r>
      <w:r>
        <w:rPr>
          <w:rFonts w:ascii="宋体" w:hAnsi="宋体" w:eastAsia="宋体"/>
          <w:sz w:val="24"/>
        </w:rPr>
        <w:t>、</w:t>
      </w:r>
      <w:r>
        <w:rPr>
          <w:rFonts w:ascii="宋体" w:hAnsi="宋体" w:eastAsia="宋体"/>
          <w:i/>
          <w:sz w:val="24"/>
        </w:rPr>
        <w:t>Nature</w:t>
      </w:r>
      <w:r>
        <w:rPr>
          <w:rFonts w:ascii="宋体" w:hAnsi="宋体" w:eastAsia="宋体"/>
          <w:sz w:val="24"/>
        </w:rPr>
        <w:t>、</w:t>
      </w:r>
      <w:r>
        <w:rPr>
          <w:rFonts w:ascii="宋体" w:hAnsi="宋体" w:eastAsia="宋体"/>
          <w:i/>
          <w:sz w:val="24"/>
        </w:rPr>
        <w:t>Cell</w:t>
      </w:r>
      <w:r>
        <w:rPr>
          <w:rFonts w:ascii="宋体" w:hAnsi="宋体" w:eastAsia="宋体"/>
          <w:sz w:val="24"/>
        </w:rPr>
        <w:t>正刊</w:t>
      </w:r>
      <w:r>
        <w:rPr>
          <w:rFonts w:hint="eastAsia" w:ascii="宋体" w:hAnsi="宋体" w:eastAsia="宋体"/>
          <w:sz w:val="24"/>
        </w:rPr>
        <w:t>以及</w:t>
      </w:r>
      <w:r>
        <w:rPr>
          <w:rFonts w:ascii="宋体" w:hAnsi="宋体" w:eastAsia="宋体"/>
          <w:i/>
          <w:sz w:val="24"/>
        </w:rPr>
        <w:t>NEJM</w:t>
      </w:r>
      <w:r>
        <w:rPr>
          <w:rFonts w:ascii="宋体" w:hAnsi="宋体" w:eastAsia="宋体"/>
          <w:sz w:val="24"/>
        </w:rPr>
        <w:t>分值为30分</w:t>
      </w:r>
      <w:r>
        <w:rPr>
          <w:rFonts w:hint="eastAsia" w:ascii="宋体" w:hAnsi="宋体" w:eastAsia="宋体"/>
          <w:sz w:val="24"/>
        </w:rPr>
        <w:t>；</w:t>
      </w:r>
    </w:p>
    <w:p w14:paraId="2EF37D67">
      <w:pPr>
        <w:spacing w:line="360" w:lineRule="auto"/>
        <w:ind w:firstLine="480" w:firstLineChars="200"/>
        <w:rPr>
          <w:rFonts w:hint="eastAsia" w:ascii="宋体" w:hAnsi="宋体" w:eastAsia="宋体"/>
          <w:kern w:val="0"/>
          <w:sz w:val="24"/>
        </w:rPr>
      </w:pPr>
      <w:r>
        <w:rPr>
          <w:rFonts w:hint="eastAsia" w:ascii="宋体" w:hAnsi="宋体" w:eastAsia="宋体"/>
          <w:kern w:val="0"/>
          <w:sz w:val="24"/>
        </w:rPr>
        <w:t>②影响因子（参考近五年标准）大于等于20以上科研论文为20分；</w:t>
      </w:r>
    </w:p>
    <w:p w14:paraId="513FDCF1">
      <w:pPr>
        <w:spacing w:line="360" w:lineRule="auto"/>
        <w:ind w:firstLine="480" w:firstLineChars="200"/>
        <w:rPr>
          <w:rFonts w:hint="eastAsia" w:ascii="宋体" w:hAnsi="宋体" w:eastAsia="宋体"/>
          <w:sz w:val="24"/>
        </w:rPr>
      </w:pPr>
      <w:r>
        <w:rPr>
          <w:rFonts w:hint="eastAsia" w:ascii="宋体" w:hAnsi="宋体" w:eastAsia="宋体"/>
          <w:iCs/>
          <w:sz w:val="24"/>
        </w:rPr>
        <w:t>③</w:t>
      </w:r>
      <w:r>
        <w:rPr>
          <w:rFonts w:ascii="宋体" w:hAnsi="宋体" w:eastAsia="宋体"/>
          <w:i/>
          <w:sz w:val="24"/>
        </w:rPr>
        <w:t>PNAS</w:t>
      </w:r>
      <w:r>
        <w:rPr>
          <w:rFonts w:hint="eastAsia" w:ascii="宋体" w:hAnsi="宋体" w:eastAsia="宋体"/>
          <w:sz w:val="24"/>
        </w:rPr>
        <w:t>、</w:t>
      </w:r>
      <w:r>
        <w:rPr>
          <w:rFonts w:ascii="宋体" w:hAnsi="宋体" w:eastAsia="宋体"/>
          <w:i/>
          <w:sz w:val="24"/>
        </w:rPr>
        <w:t>Nature</w:t>
      </w:r>
      <w:r>
        <w:rPr>
          <w:rFonts w:ascii="宋体" w:hAnsi="宋体" w:eastAsia="宋体"/>
          <w:sz w:val="24"/>
        </w:rPr>
        <w:t>、</w:t>
      </w:r>
      <w:r>
        <w:rPr>
          <w:rFonts w:ascii="宋体" w:hAnsi="宋体" w:eastAsia="宋体"/>
          <w:i/>
          <w:sz w:val="24"/>
        </w:rPr>
        <w:t>Science</w:t>
      </w:r>
      <w:r>
        <w:rPr>
          <w:rFonts w:ascii="宋体" w:hAnsi="宋体" w:eastAsia="宋体"/>
          <w:sz w:val="24"/>
        </w:rPr>
        <w:t>、</w:t>
      </w:r>
      <w:r>
        <w:rPr>
          <w:rFonts w:ascii="宋体" w:hAnsi="宋体" w:eastAsia="宋体"/>
          <w:i/>
          <w:sz w:val="24"/>
        </w:rPr>
        <w:t>Cell</w:t>
      </w:r>
      <w:r>
        <w:rPr>
          <w:rFonts w:ascii="宋体" w:hAnsi="宋体" w:eastAsia="宋体"/>
          <w:sz w:val="24"/>
        </w:rPr>
        <w:t>子系列</w:t>
      </w:r>
      <w:r>
        <w:rPr>
          <w:rFonts w:hint="eastAsia" w:ascii="宋体" w:hAnsi="宋体" w:eastAsia="宋体"/>
          <w:sz w:val="24"/>
        </w:rPr>
        <w:t>以及影响因子大于1</w:t>
      </w:r>
      <w:r>
        <w:rPr>
          <w:rFonts w:ascii="宋体" w:hAnsi="宋体" w:eastAsia="宋体"/>
          <w:sz w:val="24"/>
        </w:rPr>
        <w:t>0</w:t>
      </w:r>
      <w:r>
        <w:rPr>
          <w:rFonts w:hint="eastAsia" w:ascii="宋体" w:hAnsi="宋体" w:eastAsia="宋体"/>
          <w:sz w:val="24"/>
        </w:rPr>
        <w:t>的论文</w:t>
      </w:r>
      <w:r>
        <w:rPr>
          <w:rFonts w:ascii="宋体" w:hAnsi="宋体" w:eastAsia="宋体"/>
          <w:sz w:val="24"/>
        </w:rPr>
        <w:t>为15分；</w:t>
      </w:r>
    </w:p>
    <w:p w14:paraId="49E8124F">
      <w:pPr>
        <w:spacing w:line="360" w:lineRule="auto"/>
        <w:ind w:firstLine="480" w:firstLineChars="200"/>
        <w:rPr>
          <w:rFonts w:hint="eastAsia" w:ascii="宋体" w:hAnsi="宋体" w:eastAsia="宋体"/>
          <w:sz w:val="24"/>
        </w:rPr>
      </w:pPr>
      <w:r>
        <w:rPr>
          <w:rFonts w:hint="eastAsia" w:ascii="宋体" w:hAnsi="宋体" w:eastAsia="宋体"/>
          <w:sz w:val="24"/>
        </w:rPr>
        <w:t>④</w:t>
      </w:r>
      <w:r>
        <w:rPr>
          <w:rFonts w:ascii="宋体" w:hAnsi="宋体" w:eastAsia="宋体"/>
          <w:sz w:val="24"/>
        </w:rPr>
        <w:t>一区论文分值为10分；</w:t>
      </w:r>
    </w:p>
    <w:p w14:paraId="7128CE2B">
      <w:pPr>
        <w:spacing w:line="360" w:lineRule="auto"/>
        <w:ind w:firstLine="480" w:firstLineChars="200"/>
        <w:rPr>
          <w:rFonts w:hint="eastAsia" w:ascii="宋体" w:hAnsi="宋体" w:eastAsia="宋体"/>
          <w:sz w:val="24"/>
        </w:rPr>
      </w:pPr>
      <w:r>
        <w:rPr>
          <w:rFonts w:hint="eastAsia" w:ascii="宋体" w:hAnsi="宋体" w:eastAsia="宋体"/>
          <w:sz w:val="24"/>
        </w:rPr>
        <w:t>⑤</w:t>
      </w:r>
      <w:r>
        <w:rPr>
          <w:rFonts w:ascii="宋体" w:hAnsi="宋体" w:eastAsia="宋体"/>
          <w:sz w:val="24"/>
        </w:rPr>
        <w:t>二区论文分值为7分；</w:t>
      </w:r>
    </w:p>
    <w:p w14:paraId="3591E845">
      <w:pPr>
        <w:spacing w:line="360" w:lineRule="auto"/>
        <w:ind w:firstLine="480" w:firstLineChars="200"/>
        <w:rPr>
          <w:rFonts w:hint="eastAsia" w:ascii="宋体" w:hAnsi="宋体" w:eastAsia="宋体"/>
          <w:sz w:val="24"/>
        </w:rPr>
      </w:pPr>
      <w:r>
        <w:rPr>
          <w:rFonts w:hint="eastAsia" w:ascii="宋体" w:hAnsi="宋体" w:eastAsia="宋体"/>
          <w:sz w:val="24"/>
        </w:rPr>
        <w:t>⑥三区论文分值为</w:t>
      </w:r>
      <w:r>
        <w:rPr>
          <w:rFonts w:ascii="宋体" w:hAnsi="宋体" w:eastAsia="宋体"/>
          <w:sz w:val="24"/>
        </w:rPr>
        <w:t>4分</w:t>
      </w:r>
      <w:r>
        <w:rPr>
          <w:rFonts w:hint="eastAsia" w:ascii="宋体" w:hAnsi="宋体" w:eastAsia="宋体"/>
          <w:sz w:val="24"/>
        </w:rPr>
        <w:t>；</w:t>
      </w:r>
    </w:p>
    <w:p w14:paraId="5875ED14">
      <w:pPr>
        <w:spacing w:line="360" w:lineRule="auto"/>
        <w:ind w:firstLine="480" w:firstLineChars="200"/>
        <w:rPr>
          <w:rFonts w:hint="eastAsia" w:ascii="宋体" w:hAnsi="宋体" w:eastAsia="宋体"/>
          <w:sz w:val="24"/>
        </w:rPr>
      </w:pPr>
      <w:r>
        <w:rPr>
          <w:rFonts w:hint="eastAsia" w:ascii="宋体" w:hAnsi="宋体" w:eastAsia="宋体"/>
          <w:sz w:val="24"/>
        </w:rPr>
        <w:t>⑦四区及以下包括中文卓越期刊2分</w:t>
      </w:r>
      <w:r>
        <w:rPr>
          <w:rFonts w:ascii="宋体" w:hAnsi="宋体" w:eastAsia="宋体"/>
          <w:sz w:val="24"/>
        </w:rPr>
        <w:t>。</w:t>
      </w:r>
    </w:p>
    <w:p w14:paraId="7C053D76">
      <w:pPr>
        <w:pStyle w:val="9"/>
        <w:spacing w:line="360" w:lineRule="auto"/>
        <w:ind w:firstLine="480"/>
        <w:rPr>
          <w:rFonts w:hint="eastAsia" w:ascii="宋体" w:hAnsi="宋体" w:eastAsia="宋体"/>
          <w:sz w:val="24"/>
        </w:rPr>
      </w:pPr>
      <w:r>
        <w:rPr>
          <w:rFonts w:hint="eastAsia" w:ascii="宋体" w:hAnsi="宋体" w:eastAsia="宋体"/>
          <w:sz w:val="24"/>
        </w:rPr>
        <w:t>为鼓励课题组内成员合作发表高质量论文，同一篇论文可以多人使用，每篇论文可计算分数的作者</w:t>
      </w:r>
      <w:r>
        <w:rPr>
          <w:rFonts w:ascii="宋体" w:hAnsi="宋体" w:eastAsia="宋体"/>
          <w:sz w:val="24"/>
        </w:rPr>
        <w:t>最多不超过3</w:t>
      </w:r>
      <w:r>
        <w:rPr>
          <w:rFonts w:hint="eastAsia" w:ascii="宋体" w:hAnsi="宋体" w:eastAsia="宋体"/>
          <w:sz w:val="24"/>
        </w:rPr>
        <w:t>名</w:t>
      </w:r>
      <w:r>
        <w:rPr>
          <w:rFonts w:ascii="宋体" w:hAnsi="宋体" w:eastAsia="宋体"/>
          <w:sz w:val="24"/>
        </w:rPr>
        <w:t>，</w:t>
      </w:r>
      <w:r>
        <w:rPr>
          <w:rFonts w:hint="eastAsia" w:ascii="宋体" w:hAnsi="宋体" w:eastAsia="宋体"/>
          <w:sz w:val="24"/>
        </w:rPr>
        <w:t>按照论文中作者排列的顺序</w:t>
      </w:r>
      <w:r>
        <w:rPr>
          <w:rFonts w:ascii="宋体" w:hAnsi="宋体" w:eastAsia="宋体"/>
          <w:sz w:val="24"/>
        </w:rPr>
        <w:t>系数</w:t>
      </w:r>
      <w:r>
        <w:rPr>
          <w:rFonts w:hint="eastAsia" w:ascii="宋体" w:hAnsi="宋体" w:eastAsia="宋体"/>
          <w:sz w:val="24"/>
        </w:rPr>
        <w:t>分别为</w:t>
      </w:r>
      <w:r>
        <w:rPr>
          <w:rFonts w:ascii="宋体" w:hAnsi="宋体" w:eastAsia="宋体"/>
          <w:sz w:val="24"/>
        </w:rPr>
        <w:t>1</w:t>
      </w:r>
      <w:r>
        <w:rPr>
          <w:rFonts w:hint="eastAsia" w:ascii="宋体" w:hAnsi="宋体" w:eastAsia="宋体"/>
          <w:sz w:val="24"/>
        </w:rPr>
        <w:t>、</w:t>
      </w:r>
      <w:r>
        <w:rPr>
          <w:rFonts w:ascii="宋体" w:hAnsi="宋体" w:eastAsia="宋体"/>
          <w:sz w:val="24"/>
        </w:rPr>
        <w:t>0.5和0.2</w:t>
      </w:r>
      <w:r>
        <w:rPr>
          <w:rFonts w:hint="eastAsia" w:ascii="宋体" w:hAnsi="宋体" w:eastAsia="宋体"/>
          <w:sz w:val="24"/>
        </w:rPr>
        <w:t>（不考虑并列作者的因素）</w:t>
      </w:r>
      <w:r>
        <w:rPr>
          <w:rFonts w:ascii="宋体" w:hAnsi="宋体" w:eastAsia="宋体"/>
          <w:sz w:val="24"/>
        </w:rPr>
        <w:t>。</w:t>
      </w:r>
    </w:p>
    <w:p w14:paraId="3B7E98DB">
      <w:pPr>
        <w:pStyle w:val="9"/>
        <w:spacing w:before="156" w:beforeLines="50" w:line="360" w:lineRule="auto"/>
        <w:ind w:firstLine="480"/>
        <w:rPr>
          <w:rFonts w:hint="eastAsia" w:ascii="宋体" w:hAnsi="宋体" w:eastAsia="宋体"/>
          <w:bCs/>
          <w:sz w:val="24"/>
        </w:rPr>
      </w:pPr>
      <w:r>
        <w:rPr>
          <w:rFonts w:hint="eastAsia" w:ascii="宋体" w:hAnsi="宋体" w:eastAsia="宋体" w:cs="Segoe UI"/>
          <w:bCs/>
          <w:sz w:val="24"/>
        </w:rPr>
        <w:t>（4）教育学类专业科研论文计算标准：</w:t>
      </w:r>
    </w:p>
    <w:tbl>
      <w:tblPr>
        <w:tblStyle w:val="5"/>
        <w:tblW w:w="48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0"/>
        <w:gridCol w:w="2305"/>
        <w:gridCol w:w="2279"/>
      </w:tblGrid>
      <w:tr w14:paraId="1349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209" w:type="pct"/>
            <w:vMerge w:val="restart"/>
            <w:tcBorders>
              <w:top w:val="single" w:color="auto" w:sz="4" w:space="0"/>
              <w:left w:val="single" w:color="auto" w:sz="4" w:space="0"/>
              <w:right w:val="single" w:color="auto" w:sz="4" w:space="0"/>
            </w:tcBorders>
            <w:shd w:val="clear" w:color="auto" w:fill="D9D9D9"/>
            <w:vAlign w:val="center"/>
          </w:tcPr>
          <w:p w14:paraId="6DF23BA0">
            <w:pPr>
              <w:snapToGrid w:val="0"/>
              <w:spacing w:line="100" w:lineRule="atLeast"/>
              <w:jc w:val="center"/>
              <w:rPr>
                <w:rFonts w:hint="eastAsia" w:ascii="宋体" w:hAnsi="宋体" w:eastAsia="宋体"/>
                <w:b/>
                <w:bCs/>
                <w:szCs w:val="21"/>
              </w:rPr>
            </w:pPr>
            <w:r>
              <w:rPr>
                <w:rFonts w:hint="eastAsia" w:ascii="宋体" w:hAnsi="宋体" w:eastAsia="宋体"/>
                <w:b/>
                <w:bCs/>
                <w:szCs w:val="21"/>
              </w:rPr>
              <w:t>发表论文级别</w:t>
            </w:r>
          </w:p>
        </w:tc>
        <w:tc>
          <w:tcPr>
            <w:tcW w:w="1403" w:type="pct"/>
            <w:vMerge w:val="restart"/>
            <w:tcBorders>
              <w:top w:val="single" w:color="auto" w:sz="4" w:space="0"/>
              <w:left w:val="single" w:color="auto" w:sz="4" w:space="0"/>
              <w:right w:val="single" w:color="auto" w:sz="4" w:space="0"/>
            </w:tcBorders>
            <w:shd w:val="clear" w:color="auto" w:fill="D9D9D9"/>
            <w:vAlign w:val="center"/>
          </w:tcPr>
          <w:p w14:paraId="79B9DF2E">
            <w:pPr>
              <w:snapToGrid w:val="0"/>
              <w:spacing w:line="100" w:lineRule="atLeast"/>
              <w:jc w:val="center"/>
              <w:rPr>
                <w:rFonts w:hint="eastAsia" w:ascii="宋体" w:hAnsi="宋体" w:eastAsia="宋体"/>
                <w:b/>
                <w:bCs/>
                <w:szCs w:val="21"/>
              </w:rPr>
            </w:pPr>
            <w:r>
              <w:rPr>
                <w:rFonts w:hint="eastAsia" w:ascii="宋体" w:hAnsi="宋体" w:eastAsia="宋体"/>
                <w:b/>
                <w:bCs/>
                <w:szCs w:val="21"/>
              </w:rPr>
              <w:t>单篇最高分</w:t>
            </w:r>
          </w:p>
        </w:tc>
        <w:tc>
          <w:tcPr>
            <w:tcW w:w="1387" w:type="pct"/>
            <w:vMerge w:val="restart"/>
            <w:tcBorders>
              <w:top w:val="single" w:color="auto" w:sz="4" w:space="0"/>
              <w:left w:val="single" w:color="auto" w:sz="4" w:space="0"/>
              <w:right w:val="single" w:color="auto" w:sz="4" w:space="0"/>
            </w:tcBorders>
            <w:shd w:val="clear" w:color="auto" w:fill="D9D9D9"/>
            <w:vAlign w:val="center"/>
          </w:tcPr>
          <w:p w14:paraId="1BBD48B7">
            <w:pPr>
              <w:snapToGrid w:val="0"/>
              <w:spacing w:line="100" w:lineRule="atLeast"/>
              <w:jc w:val="center"/>
              <w:rPr>
                <w:rFonts w:hint="eastAsia" w:ascii="宋体" w:hAnsi="宋体" w:eastAsia="宋体"/>
                <w:b/>
                <w:bCs/>
                <w:szCs w:val="21"/>
              </w:rPr>
            </w:pPr>
            <w:r>
              <w:rPr>
                <w:rFonts w:hint="eastAsia" w:ascii="宋体" w:hAnsi="宋体" w:eastAsia="宋体"/>
                <w:b/>
                <w:bCs/>
                <w:szCs w:val="21"/>
              </w:rPr>
              <w:t>人大复印资料转载</w:t>
            </w:r>
          </w:p>
        </w:tc>
      </w:tr>
      <w:tr w14:paraId="1C87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09" w:type="pct"/>
            <w:vMerge w:val="continue"/>
            <w:tcBorders>
              <w:left w:val="single" w:color="auto" w:sz="4" w:space="0"/>
              <w:bottom w:val="single" w:color="auto" w:sz="4" w:space="0"/>
              <w:right w:val="single" w:color="auto" w:sz="4" w:space="0"/>
            </w:tcBorders>
            <w:shd w:val="clear" w:color="auto" w:fill="D9D9D9"/>
            <w:vAlign w:val="center"/>
          </w:tcPr>
          <w:p w14:paraId="521F9658">
            <w:pPr>
              <w:snapToGrid w:val="0"/>
              <w:spacing w:line="100" w:lineRule="atLeast"/>
              <w:jc w:val="center"/>
              <w:rPr>
                <w:rFonts w:hint="eastAsia" w:ascii="宋体" w:hAnsi="宋体" w:eastAsia="宋体"/>
                <w:szCs w:val="21"/>
              </w:rPr>
            </w:pPr>
          </w:p>
        </w:tc>
        <w:tc>
          <w:tcPr>
            <w:tcW w:w="1403" w:type="pct"/>
            <w:vMerge w:val="continue"/>
            <w:tcBorders>
              <w:left w:val="single" w:color="auto" w:sz="4" w:space="0"/>
              <w:bottom w:val="single" w:color="auto" w:sz="4" w:space="0"/>
              <w:right w:val="single" w:color="auto" w:sz="4" w:space="0"/>
            </w:tcBorders>
            <w:shd w:val="clear" w:color="auto" w:fill="D9D9D9"/>
            <w:vAlign w:val="center"/>
          </w:tcPr>
          <w:p w14:paraId="50B97CFE">
            <w:pPr>
              <w:snapToGrid w:val="0"/>
              <w:spacing w:line="100" w:lineRule="atLeast"/>
              <w:jc w:val="center"/>
              <w:rPr>
                <w:rFonts w:hint="eastAsia" w:ascii="宋体" w:hAnsi="宋体" w:eastAsia="宋体"/>
                <w:szCs w:val="21"/>
              </w:rPr>
            </w:pPr>
          </w:p>
        </w:tc>
        <w:tc>
          <w:tcPr>
            <w:tcW w:w="1387" w:type="pct"/>
            <w:vMerge w:val="continue"/>
            <w:tcBorders>
              <w:left w:val="single" w:color="auto" w:sz="4" w:space="0"/>
              <w:bottom w:val="single" w:color="auto" w:sz="4" w:space="0"/>
              <w:right w:val="single" w:color="auto" w:sz="4" w:space="0"/>
            </w:tcBorders>
            <w:shd w:val="clear" w:color="auto" w:fill="D9D9D9"/>
            <w:vAlign w:val="center"/>
          </w:tcPr>
          <w:p w14:paraId="65C7D25D">
            <w:pPr>
              <w:snapToGrid w:val="0"/>
              <w:spacing w:line="100" w:lineRule="atLeast"/>
              <w:jc w:val="center"/>
              <w:rPr>
                <w:rFonts w:hint="eastAsia" w:ascii="宋体" w:hAnsi="宋体" w:eastAsia="宋体"/>
                <w:szCs w:val="21"/>
              </w:rPr>
            </w:pPr>
          </w:p>
        </w:tc>
      </w:tr>
      <w:tr w14:paraId="738A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3A553CE7">
            <w:pPr>
              <w:snapToGrid w:val="0"/>
              <w:spacing w:line="100" w:lineRule="atLeast"/>
              <w:ind w:firstLine="210" w:firstLineChars="100"/>
              <w:jc w:val="center"/>
              <w:rPr>
                <w:rFonts w:hint="eastAsia" w:ascii="宋体" w:hAnsi="宋体" w:eastAsia="宋体"/>
                <w:szCs w:val="21"/>
              </w:rPr>
            </w:pPr>
            <w:r>
              <w:rPr>
                <w:rFonts w:ascii="宋体" w:hAnsi="宋体" w:eastAsia="宋体"/>
                <w:szCs w:val="21"/>
              </w:rPr>
              <w:t>SSCI</w:t>
            </w:r>
            <w:r>
              <w:rPr>
                <w:rFonts w:hint="eastAsia" w:ascii="宋体" w:hAnsi="宋体" w:eastAsia="宋体"/>
                <w:szCs w:val="21"/>
              </w:rPr>
              <w:t>、</w:t>
            </w:r>
            <w:r>
              <w:rPr>
                <w:rFonts w:ascii="宋体" w:hAnsi="宋体" w:eastAsia="宋体"/>
                <w:szCs w:val="21"/>
              </w:rPr>
              <w:t>A&amp;HCI</w:t>
            </w:r>
            <w:r>
              <w:rPr>
                <w:rFonts w:hint="eastAsia" w:ascii="宋体" w:hAnsi="宋体" w:eastAsia="宋体"/>
                <w:szCs w:val="21"/>
              </w:rPr>
              <w:t>期刊、权威B</w:t>
            </w:r>
          </w:p>
        </w:tc>
        <w:tc>
          <w:tcPr>
            <w:tcW w:w="1403" w:type="pct"/>
            <w:tcBorders>
              <w:top w:val="single" w:color="auto" w:sz="4" w:space="0"/>
              <w:left w:val="single" w:color="auto" w:sz="4" w:space="0"/>
              <w:bottom w:val="single" w:color="auto" w:sz="4" w:space="0"/>
              <w:right w:val="single" w:color="auto" w:sz="4" w:space="0"/>
            </w:tcBorders>
            <w:vAlign w:val="center"/>
          </w:tcPr>
          <w:p w14:paraId="2D57D3F0">
            <w:pPr>
              <w:snapToGrid w:val="0"/>
              <w:spacing w:line="100" w:lineRule="atLeast"/>
              <w:jc w:val="center"/>
              <w:rPr>
                <w:rFonts w:hint="eastAsia" w:ascii="宋体" w:hAnsi="宋体" w:eastAsia="宋体"/>
                <w:szCs w:val="21"/>
              </w:rPr>
            </w:pPr>
            <w:r>
              <w:rPr>
                <w:rFonts w:hint="eastAsia" w:ascii="宋体" w:hAnsi="宋体" w:eastAsia="宋体"/>
                <w:szCs w:val="21"/>
              </w:rPr>
              <w:t>20</w:t>
            </w:r>
          </w:p>
        </w:tc>
        <w:tc>
          <w:tcPr>
            <w:tcW w:w="1387" w:type="pct"/>
            <w:tcBorders>
              <w:top w:val="single" w:color="auto" w:sz="4" w:space="0"/>
              <w:left w:val="single" w:color="auto" w:sz="4" w:space="0"/>
              <w:bottom w:val="single" w:color="auto" w:sz="4" w:space="0"/>
              <w:right w:val="single" w:color="auto" w:sz="4" w:space="0"/>
            </w:tcBorders>
            <w:vAlign w:val="center"/>
          </w:tcPr>
          <w:p w14:paraId="679574CF">
            <w:pPr>
              <w:snapToGrid w:val="0"/>
              <w:spacing w:line="100" w:lineRule="atLeast"/>
              <w:jc w:val="center"/>
              <w:rPr>
                <w:rFonts w:hint="eastAsia" w:ascii="宋体" w:hAnsi="宋体" w:eastAsia="宋体"/>
                <w:szCs w:val="21"/>
              </w:rPr>
            </w:pPr>
            <w:r>
              <w:rPr>
                <w:rFonts w:hint="eastAsia" w:ascii="宋体" w:hAnsi="宋体" w:eastAsia="宋体"/>
                <w:szCs w:val="21"/>
              </w:rPr>
              <w:t>——</w:t>
            </w:r>
          </w:p>
        </w:tc>
      </w:tr>
      <w:tr w14:paraId="6218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20846FDA">
            <w:pPr>
              <w:snapToGrid w:val="0"/>
              <w:spacing w:line="100" w:lineRule="atLeast"/>
              <w:ind w:firstLine="210" w:firstLineChars="100"/>
              <w:jc w:val="center"/>
              <w:rPr>
                <w:rFonts w:hint="eastAsia" w:ascii="宋体" w:hAnsi="宋体" w:eastAsia="宋体"/>
                <w:szCs w:val="21"/>
              </w:rPr>
            </w:pPr>
            <w:r>
              <w:rPr>
                <w:rFonts w:ascii="宋体" w:hAnsi="宋体" w:eastAsia="宋体"/>
                <w:szCs w:val="21"/>
              </w:rPr>
              <w:t>SCI</w:t>
            </w:r>
            <w:r>
              <w:rPr>
                <w:rFonts w:hint="eastAsia" w:ascii="宋体" w:hAnsi="宋体" w:eastAsia="宋体"/>
                <w:szCs w:val="21"/>
              </w:rPr>
              <w:t>期刊</w:t>
            </w:r>
          </w:p>
        </w:tc>
        <w:tc>
          <w:tcPr>
            <w:tcW w:w="1403" w:type="pct"/>
            <w:tcBorders>
              <w:top w:val="single" w:color="auto" w:sz="4" w:space="0"/>
              <w:left w:val="single" w:color="auto" w:sz="4" w:space="0"/>
              <w:bottom w:val="single" w:color="auto" w:sz="4" w:space="0"/>
              <w:right w:val="single" w:color="auto" w:sz="4" w:space="0"/>
            </w:tcBorders>
            <w:vAlign w:val="center"/>
          </w:tcPr>
          <w:p w14:paraId="7120848B">
            <w:pPr>
              <w:snapToGrid w:val="0"/>
              <w:spacing w:line="100" w:lineRule="atLeast"/>
              <w:jc w:val="center"/>
              <w:rPr>
                <w:rFonts w:hint="eastAsia" w:ascii="宋体" w:hAnsi="宋体" w:eastAsia="宋体"/>
                <w:szCs w:val="21"/>
              </w:rPr>
            </w:pPr>
            <w:r>
              <w:rPr>
                <w:rFonts w:hint="eastAsia" w:ascii="宋体" w:hAnsi="宋体" w:eastAsia="宋体"/>
                <w:szCs w:val="21"/>
              </w:rPr>
              <w:t>15</w:t>
            </w:r>
          </w:p>
        </w:tc>
        <w:tc>
          <w:tcPr>
            <w:tcW w:w="1387" w:type="pct"/>
            <w:tcBorders>
              <w:top w:val="single" w:color="auto" w:sz="4" w:space="0"/>
              <w:left w:val="single" w:color="auto" w:sz="4" w:space="0"/>
              <w:bottom w:val="single" w:color="auto" w:sz="4" w:space="0"/>
              <w:right w:val="single" w:color="auto" w:sz="4" w:space="0"/>
            </w:tcBorders>
            <w:vAlign w:val="center"/>
          </w:tcPr>
          <w:p w14:paraId="50F8F392">
            <w:pPr>
              <w:snapToGrid w:val="0"/>
              <w:spacing w:line="100" w:lineRule="atLeast"/>
              <w:jc w:val="center"/>
              <w:rPr>
                <w:rFonts w:hint="eastAsia" w:ascii="宋体" w:hAnsi="宋体" w:eastAsia="宋体"/>
                <w:szCs w:val="21"/>
              </w:rPr>
            </w:pPr>
            <w:r>
              <w:rPr>
                <w:rFonts w:hint="eastAsia" w:ascii="宋体" w:hAnsi="宋体" w:eastAsia="宋体"/>
                <w:szCs w:val="21"/>
              </w:rPr>
              <w:t>——</w:t>
            </w:r>
          </w:p>
        </w:tc>
      </w:tr>
      <w:tr w14:paraId="6A98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05209075">
            <w:pPr>
              <w:snapToGrid w:val="0"/>
              <w:spacing w:line="100" w:lineRule="atLeast"/>
              <w:jc w:val="center"/>
              <w:rPr>
                <w:rFonts w:hint="eastAsia" w:ascii="宋体" w:hAnsi="宋体" w:eastAsia="宋体"/>
                <w:szCs w:val="21"/>
              </w:rPr>
            </w:pPr>
            <w:r>
              <w:rPr>
                <w:rFonts w:ascii="宋体" w:hAnsi="宋体" w:eastAsia="宋体"/>
                <w:szCs w:val="21"/>
              </w:rPr>
              <w:t>CSSCI</w:t>
            </w:r>
            <w:r>
              <w:rPr>
                <w:rFonts w:hint="eastAsia" w:ascii="宋体" w:hAnsi="宋体" w:eastAsia="宋体"/>
                <w:szCs w:val="21"/>
              </w:rPr>
              <w:t>来源期刊</w:t>
            </w:r>
          </w:p>
        </w:tc>
        <w:tc>
          <w:tcPr>
            <w:tcW w:w="1403" w:type="pct"/>
            <w:tcBorders>
              <w:top w:val="single" w:color="auto" w:sz="4" w:space="0"/>
              <w:left w:val="single" w:color="auto" w:sz="4" w:space="0"/>
              <w:bottom w:val="single" w:color="auto" w:sz="4" w:space="0"/>
              <w:right w:val="single" w:color="auto" w:sz="4" w:space="0"/>
            </w:tcBorders>
            <w:vAlign w:val="center"/>
          </w:tcPr>
          <w:p w14:paraId="29EF520C">
            <w:pPr>
              <w:snapToGrid w:val="0"/>
              <w:spacing w:line="100" w:lineRule="atLeast"/>
              <w:jc w:val="center"/>
              <w:rPr>
                <w:rFonts w:hint="eastAsia" w:ascii="宋体" w:hAnsi="宋体" w:eastAsia="宋体"/>
                <w:szCs w:val="21"/>
              </w:rPr>
            </w:pPr>
            <w:r>
              <w:rPr>
                <w:rFonts w:hint="eastAsia" w:ascii="宋体" w:hAnsi="宋体" w:eastAsia="宋体"/>
                <w:szCs w:val="21"/>
              </w:rPr>
              <w:t>10</w:t>
            </w:r>
          </w:p>
        </w:tc>
        <w:tc>
          <w:tcPr>
            <w:tcW w:w="1387" w:type="pct"/>
            <w:tcBorders>
              <w:top w:val="single" w:color="auto" w:sz="4" w:space="0"/>
              <w:left w:val="single" w:color="auto" w:sz="4" w:space="0"/>
              <w:bottom w:val="single" w:color="auto" w:sz="4" w:space="0"/>
              <w:right w:val="single" w:color="auto" w:sz="4" w:space="0"/>
            </w:tcBorders>
            <w:vAlign w:val="center"/>
          </w:tcPr>
          <w:p w14:paraId="273534E9">
            <w:pPr>
              <w:snapToGrid w:val="0"/>
              <w:spacing w:line="100" w:lineRule="atLeast"/>
              <w:jc w:val="center"/>
              <w:rPr>
                <w:rFonts w:hint="eastAsia" w:ascii="宋体" w:hAnsi="宋体" w:eastAsia="宋体"/>
                <w:szCs w:val="21"/>
              </w:rPr>
            </w:pPr>
            <w:r>
              <w:rPr>
                <w:rFonts w:hint="eastAsia" w:ascii="宋体" w:hAnsi="宋体" w:eastAsia="宋体"/>
                <w:szCs w:val="21"/>
              </w:rPr>
              <w:t>+20%</w:t>
            </w:r>
          </w:p>
        </w:tc>
      </w:tr>
      <w:tr w14:paraId="4BB7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38D2847F">
            <w:pPr>
              <w:snapToGrid w:val="0"/>
              <w:spacing w:line="100" w:lineRule="atLeast"/>
              <w:jc w:val="center"/>
              <w:rPr>
                <w:rFonts w:hint="eastAsia" w:ascii="宋体" w:hAnsi="宋体" w:eastAsia="宋体"/>
                <w:szCs w:val="21"/>
              </w:rPr>
            </w:pPr>
            <w:r>
              <w:rPr>
                <w:rFonts w:ascii="宋体" w:hAnsi="宋体" w:eastAsia="宋体"/>
                <w:szCs w:val="21"/>
              </w:rPr>
              <w:t>CSSCI</w:t>
            </w:r>
            <w:r>
              <w:rPr>
                <w:rFonts w:hint="eastAsia" w:ascii="宋体" w:hAnsi="宋体" w:eastAsia="宋体"/>
                <w:szCs w:val="21"/>
              </w:rPr>
              <w:t>扩展版来源期刊、学校认定的专业类期刊</w:t>
            </w:r>
          </w:p>
        </w:tc>
        <w:tc>
          <w:tcPr>
            <w:tcW w:w="1403" w:type="pct"/>
            <w:tcBorders>
              <w:top w:val="single" w:color="auto" w:sz="4" w:space="0"/>
              <w:left w:val="single" w:color="auto" w:sz="4" w:space="0"/>
              <w:bottom w:val="single" w:color="auto" w:sz="4" w:space="0"/>
              <w:right w:val="single" w:color="auto" w:sz="4" w:space="0"/>
            </w:tcBorders>
            <w:vAlign w:val="center"/>
          </w:tcPr>
          <w:p w14:paraId="14646E95">
            <w:pPr>
              <w:snapToGrid w:val="0"/>
              <w:spacing w:line="100" w:lineRule="atLeast"/>
              <w:jc w:val="center"/>
              <w:rPr>
                <w:rFonts w:hint="eastAsia" w:ascii="宋体" w:hAnsi="宋体" w:eastAsia="宋体"/>
                <w:szCs w:val="21"/>
              </w:rPr>
            </w:pPr>
            <w:r>
              <w:rPr>
                <w:rFonts w:hint="eastAsia" w:ascii="宋体" w:hAnsi="宋体" w:eastAsia="宋体"/>
                <w:szCs w:val="21"/>
              </w:rPr>
              <w:t>6</w:t>
            </w:r>
          </w:p>
        </w:tc>
        <w:tc>
          <w:tcPr>
            <w:tcW w:w="1387" w:type="pct"/>
            <w:tcBorders>
              <w:top w:val="single" w:color="auto" w:sz="4" w:space="0"/>
              <w:left w:val="single" w:color="auto" w:sz="4" w:space="0"/>
              <w:bottom w:val="single" w:color="auto" w:sz="4" w:space="0"/>
              <w:right w:val="single" w:color="auto" w:sz="4" w:space="0"/>
            </w:tcBorders>
            <w:vAlign w:val="center"/>
          </w:tcPr>
          <w:p w14:paraId="17CC9EEE">
            <w:pPr>
              <w:snapToGrid w:val="0"/>
              <w:spacing w:line="100" w:lineRule="atLeast"/>
              <w:jc w:val="center"/>
              <w:rPr>
                <w:rFonts w:hint="eastAsia" w:ascii="宋体" w:hAnsi="宋体" w:eastAsia="宋体"/>
                <w:szCs w:val="21"/>
              </w:rPr>
            </w:pPr>
            <w:r>
              <w:rPr>
                <w:rFonts w:hint="eastAsia" w:ascii="宋体" w:hAnsi="宋体" w:eastAsia="宋体"/>
                <w:szCs w:val="21"/>
              </w:rPr>
              <w:t>+30%</w:t>
            </w:r>
          </w:p>
        </w:tc>
      </w:tr>
      <w:tr w14:paraId="075B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1E35E60E">
            <w:pPr>
              <w:snapToGrid w:val="0"/>
              <w:spacing w:line="100" w:lineRule="atLeast"/>
              <w:jc w:val="center"/>
              <w:rPr>
                <w:rFonts w:hint="eastAsia" w:ascii="宋体" w:hAnsi="宋体" w:eastAsia="宋体"/>
                <w:szCs w:val="21"/>
              </w:rPr>
            </w:pPr>
            <w:r>
              <w:rPr>
                <w:rFonts w:hint="eastAsia" w:ascii="宋体" w:hAnsi="宋体" w:eastAsia="宋体"/>
                <w:szCs w:val="21"/>
              </w:rPr>
              <w:t>北大核心期刊</w:t>
            </w:r>
          </w:p>
        </w:tc>
        <w:tc>
          <w:tcPr>
            <w:tcW w:w="1403" w:type="pct"/>
            <w:tcBorders>
              <w:top w:val="single" w:color="auto" w:sz="4" w:space="0"/>
              <w:left w:val="single" w:color="auto" w:sz="4" w:space="0"/>
              <w:bottom w:val="single" w:color="auto" w:sz="4" w:space="0"/>
              <w:right w:val="single" w:color="auto" w:sz="4" w:space="0"/>
            </w:tcBorders>
            <w:vAlign w:val="center"/>
          </w:tcPr>
          <w:p w14:paraId="69F29325">
            <w:pPr>
              <w:snapToGrid w:val="0"/>
              <w:spacing w:line="100" w:lineRule="atLeast"/>
              <w:jc w:val="center"/>
              <w:rPr>
                <w:rFonts w:hint="eastAsia" w:ascii="宋体" w:hAnsi="宋体" w:eastAsia="宋体"/>
                <w:szCs w:val="21"/>
              </w:rPr>
            </w:pPr>
            <w:r>
              <w:rPr>
                <w:rFonts w:hint="eastAsia" w:ascii="宋体" w:hAnsi="宋体" w:eastAsia="宋体"/>
                <w:szCs w:val="21"/>
              </w:rPr>
              <w:t>5</w:t>
            </w:r>
          </w:p>
        </w:tc>
        <w:tc>
          <w:tcPr>
            <w:tcW w:w="1387" w:type="pct"/>
            <w:tcBorders>
              <w:top w:val="single" w:color="auto" w:sz="4" w:space="0"/>
              <w:left w:val="single" w:color="auto" w:sz="4" w:space="0"/>
              <w:bottom w:val="single" w:color="auto" w:sz="4" w:space="0"/>
              <w:right w:val="single" w:color="auto" w:sz="4" w:space="0"/>
            </w:tcBorders>
            <w:vAlign w:val="center"/>
          </w:tcPr>
          <w:p w14:paraId="0324D9FE">
            <w:pPr>
              <w:snapToGrid w:val="0"/>
              <w:spacing w:line="100" w:lineRule="atLeast"/>
              <w:jc w:val="center"/>
              <w:rPr>
                <w:rFonts w:hint="eastAsia" w:ascii="宋体" w:hAnsi="宋体" w:eastAsia="宋体"/>
                <w:szCs w:val="21"/>
              </w:rPr>
            </w:pPr>
            <w:r>
              <w:rPr>
                <w:rFonts w:hint="eastAsia" w:ascii="宋体" w:hAnsi="宋体" w:eastAsia="宋体"/>
                <w:szCs w:val="21"/>
              </w:rPr>
              <w:t>+40%</w:t>
            </w:r>
          </w:p>
        </w:tc>
      </w:tr>
      <w:tr w14:paraId="611A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08150239">
            <w:pPr>
              <w:snapToGrid w:val="0"/>
              <w:spacing w:line="100" w:lineRule="atLeast"/>
              <w:jc w:val="center"/>
              <w:rPr>
                <w:rFonts w:hint="eastAsia" w:ascii="宋体" w:hAnsi="宋体" w:eastAsia="宋体"/>
                <w:szCs w:val="21"/>
              </w:rPr>
            </w:pPr>
            <w:r>
              <w:rPr>
                <w:rFonts w:hint="eastAsia" w:ascii="宋体" w:hAnsi="宋体" w:eastAsia="宋体"/>
                <w:szCs w:val="21"/>
              </w:rPr>
              <w:t>专业类普通期刊</w:t>
            </w:r>
          </w:p>
        </w:tc>
        <w:tc>
          <w:tcPr>
            <w:tcW w:w="1403" w:type="pct"/>
            <w:tcBorders>
              <w:top w:val="single" w:color="auto" w:sz="4" w:space="0"/>
              <w:left w:val="single" w:color="auto" w:sz="4" w:space="0"/>
              <w:bottom w:val="single" w:color="auto" w:sz="4" w:space="0"/>
              <w:right w:val="single" w:color="auto" w:sz="4" w:space="0"/>
            </w:tcBorders>
            <w:vAlign w:val="center"/>
          </w:tcPr>
          <w:p w14:paraId="1746B504">
            <w:pPr>
              <w:snapToGrid w:val="0"/>
              <w:spacing w:line="100" w:lineRule="atLeast"/>
              <w:jc w:val="center"/>
              <w:rPr>
                <w:rFonts w:hint="eastAsia" w:ascii="宋体" w:hAnsi="宋体" w:eastAsia="宋体"/>
                <w:szCs w:val="21"/>
              </w:rPr>
            </w:pPr>
            <w:r>
              <w:rPr>
                <w:rFonts w:hint="eastAsia" w:ascii="宋体" w:hAnsi="宋体" w:eastAsia="宋体"/>
                <w:szCs w:val="21"/>
              </w:rPr>
              <w:t>3</w:t>
            </w:r>
          </w:p>
        </w:tc>
        <w:tc>
          <w:tcPr>
            <w:tcW w:w="1387" w:type="pct"/>
            <w:tcBorders>
              <w:top w:val="single" w:color="auto" w:sz="4" w:space="0"/>
              <w:left w:val="single" w:color="auto" w:sz="4" w:space="0"/>
              <w:bottom w:val="single" w:color="auto" w:sz="4" w:space="0"/>
              <w:right w:val="single" w:color="auto" w:sz="4" w:space="0"/>
            </w:tcBorders>
            <w:vAlign w:val="center"/>
          </w:tcPr>
          <w:p w14:paraId="55A911D4">
            <w:pPr>
              <w:snapToGrid w:val="0"/>
              <w:spacing w:line="100" w:lineRule="atLeast"/>
              <w:jc w:val="center"/>
              <w:rPr>
                <w:rFonts w:hint="eastAsia" w:ascii="宋体" w:hAnsi="宋体" w:eastAsia="宋体"/>
                <w:szCs w:val="21"/>
              </w:rPr>
            </w:pPr>
            <w:r>
              <w:rPr>
                <w:rFonts w:hint="eastAsia" w:ascii="宋体" w:hAnsi="宋体" w:eastAsia="宋体"/>
                <w:szCs w:val="21"/>
              </w:rPr>
              <w:t>*200%</w:t>
            </w:r>
          </w:p>
        </w:tc>
      </w:tr>
      <w:tr w14:paraId="7D6F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209" w:type="pct"/>
            <w:tcBorders>
              <w:top w:val="single" w:color="auto" w:sz="4" w:space="0"/>
              <w:left w:val="single" w:color="auto" w:sz="4" w:space="0"/>
              <w:bottom w:val="single" w:color="auto" w:sz="4" w:space="0"/>
              <w:right w:val="single" w:color="auto" w:sz="4" w:space="0"/>
            </w:tcBorders>
            <w:vAlign w:val="center"/>
          </w:tcPr>
          <w:p w14:paraId="3271A0CF">
            <w:pPr>
              <w:snapToGrid w:val="0"/>
              <w:spacing w:line="100" w:lineRule="atLeast"/>
              <w:jc w:val="center"/>
              <w:rPr>
                <w:rFonts w:hint="eastAsia" w:ascii="宋体" w:hAnsi="宋体" w:eastAsia="宋体"/>
                <w:szCs w:val="21"/>
              </w:rPr>
            </w:pPr>
            <w:r>
              <w:rPr>
                <w:rFonts w:hint="eastAsia" w:ascii="宋体" w:hAnsi="宋体" w:eastAsia="宋体"/>
                <w:szCs w:val="21"/>
              </w:rPr>
              <w:t>其他普通期刊</w:t>
            </w:r>
          </w:p>
        </w:tc>
        <w:tc>
          <w:tcPr>
            <w:tcW w:w="1403" w:type="pct"/>
            <w:tcBorders>
              <w:top w:val="single" w:color="auto" w:sz="4" w:space="0"/>
              <w:left w:val="single" w:color="auto" w:sz="4" w:space="0"/>
              <w:bottom w:val="single" w:color="auto" w:sz="4" w:space="0"/>
              <w:right w:val="single" w:color="auto" w:sz="4" w:space="0"/>
            </w:tcBorders>
            <w:vAlign w:val="center"/>
          </w:tcPr>
          <w:p w14:paraId="0A36F3D2">
            <w:pPr>
              <w:snapToGrid w:val="0"/>
              <w:spacing w:line="100" w:lineRule="atLeast"/>
              <w:jc w:val="center"/>
              <w:rPr>
                <w:rFonts w:hint="eastAsia" w:ascii="宋体" w:hAnsi="宋体" w:eastAsia="宋体"/>
                <w:szCs w:val="21"/>
              </w:rPr>
            </w:pPr>
            <w:r>
              <w:rPr>
                <w:rFonts w:hint="eastAsia" w:ascii="宋体" w:hAnsi="宋体" w:eastAsia="宋体"/>
                <w:szCs w:val="21"/>
              </w:rPr>
              <w:t>1</w:t>
            </w:r>
          </w:p>
        </w:tc>
        <w:tc>
          <w:tcPr>
            <w:tcW w:w="1387" w:type="pct"/>
            <w:tcBorders>
              <w:top w:val="single" w:color="auto" w:sz="4" w:space="0"/>
              <w:left w:val="single" w:color="auto" w:sz="4" w:space="0"/>
              <w:bottom w:val="single" w:color="auto" w:sz="4" w:space="0"/>
              <w:right w:val="single" w:color="auto" w:sz="4" w:space="0"/>
            </w:tcBorders>
            <w:vAlign w:val="center"/>
          </w:tcPr>
          <w:p w14:paraId="0C3AEE30">
            <w:pPr>
              <w:snapToGrid w:val="0"/>
              <w:spacing w:line="100" w:lineRule="atLeast"/>
              <w:jc w:val="center"/>
              <w:rPr>
                <w:rFonts w:hint="eastAsia" w:ascii="宋体" w:hAnsi="宋体" w:eastAsia="宋体"/>
                <w:szCs w:val="21"/>
              </w:rPr>
            </w:pPr>
            <w:r>
              <w:rPr>
                <w:rFonts w:hint="eastAsia" w:ascii="宋体" w:hAnsi="宋体" w:eastAsia="宋体"/>
                <w:szCs w:val="21"/>
              </w:rPr>
              <w:t>*</w:t>
            </w:r>
            <w:r>
              <w:rPr>
                <w:rFonts w:ascii="宋体" w:hAnsi="宋体" w:eastAsia="宋体"/>
                <w:szCs w:val="21"/>
              </w:rPr>
              <w:t>4</w:t>
            </w:r>
            <w:r>
              <w:rPr>
                <w:rFonts w:hint="eastAsia" w:ascii="宋体" w:hAnsi="宋体" w:eastAsia="宋体"/>
                <w:szCs w:val="21"/>
              </w:rPr>
              <w:t>00%</w:t>
            </w:r>
          </w:p>
        </w:tc>
      </w:tr>
    </w:tbl>
    <w:p w14:paraId="1A4DD627">
      <w:pPr>
        <w:spacing w:line="360" w:lineRule="auto"/>
        <w:ind w:firstLine="420"/>
        <w:rPr>
          <w:rFonts w:hint="eastAsia" w:ascii="宋体" w:hAnsi="宋体" w:eastAsia="宋体"/>
          <w:szCs w:val="21"/>
        </w:rPr>
      </w:pPr>
      <w:r>
        <w:rPr>
          <w:rFonts w:ascii="宋体" w:hAnsi="宋体" w:eastAsia="宋体"/>
          <w:szCs w:val="21"/>
        </w:rPr>
        <w:t xml:space="preserve">* </w:t>
      </w:r>
      <w:r>
        <w:rPr>
          <w:rFonts w:hint="eastAsia" w:ascii="宋体" w:hAnsi="宋体" w:eastAsia="宋体"/>
          <w:szCs w:val="21"/>
        </w:rPr>
        <w:t>会议收录论文不计入内。CSSCI扩展版来源期刊论文字数不少于3000字/篇；专业类普通期刊指的是与专业直接相关的质量较好的正式期刊，字数不少于3000字/篇；其他普通期刊指的是除专业类普通期刊以外的普通期刊，字数不少于4000字/篇。</w:t>
      </w:r>
    </w:p>
    <w:p w14:paraId="49002C44">
      <w:pPr>
        <w:spacing w:before="156" w:beforeLines="50" w:line="360" w:lineRule="auto"/>
        <w:ind w:firstLine="482" w:firstLineChars="200"/>
        <w:rPr>
          <w:rFonts w:hint="eastAsia" w:ascii="宋体" w:hAnsi="宋体" w:eastAsia="宋体"/>
          <w:sz w:val="24"/>
        </w:rPr>
      </w:pPr>
      <w:r>
        <w:rPr>
          <w:rFonts w:hint="eastAsia" w:ascii="宋体" w:hAnsi="宋体" w:eastAsia="宋体"/>
          <w:b/>
          <w:sz w:val="24"/>
        </w:rPr>
        <w:t>2.专利的认定及其分值计算</w:t>
      </w:r>
    </w:p>
    <w:p w14:paraId="1106898D">
      <w:pPr>
        <w:pStyle w:val="9"/>
        <w:spacing w:line="360" w:lineRule="auto"/>
        <w:ind w:firstLine="480"/>
        <w:rPr>
          <w:rFonts w:hint="eastAsia" w:ascii="宋体" w:hAnsi="宋体" w:eastAsia="宋体"/>
          <w:sz w:val="24"/>
        </w:rPr>
      </w:pPr>
      <w:r>
        <w:rPr>
          <w:rFonts w:hint="eastAsia" w:ascii="宋体" w:hAnsi="宋体" w:eastAsia="宋体"/>
          <w:sz w:val="24"/>
        </w:rPr>
        <w:t>（1）已获授权的国家发明专利及</w:t>
      </w:r>
      <w:r>
        <w:rPr>
          <w:rFonts w:ascii="宋体" w:hAnsi="宋体" w:eastAsia="宋体"/>
          <w:sz w:val="24"/>
        </w:rPr>
        <w:t>国内</w:t>
      </w:r>
      <w:r>
        <w:rPr>
          <w:rFonts w:hint="eastAsia" w:ascii="宋体" w:hAnsi="宋体" w:eastAsia="宋体"/>
          <w:sz w:val="24"/>
        </w:rPr>
        <w:t>发明</w:t>
      </w:r>
      <w:r>
        <w:rPr>
          <w:rFonts w:ascii="宋体" w:hAnsi="宋体" w:eastAsia="宋体"/>
          <w:sz w:val="24"/>
        </w:rPr>
        <w:t>专利分值为</w:t>
      </w:r>
      <w:r>
        <w:rPr>
          <w:rFonts w:hint="eastAsia" w:ascii="宋体" w:hAnsi="宋体" w:eastAsia="宋体"/>
          <w:sz w:val="24"/>
        </w:rPr>
        <w:t>5分</w:t>
      </w:r>
      <w:r>
        <w:rPr>
          <w:rFonts w:ascii="宋体" w:hAnsi="宋体" w:eastAsia="宋体"/>
          <w:sz w:val="24"/>
        </w:rPr>
        <w:t>；</w:t>
      </w:r>
      <w:r>
        <w:rPr>
          <w:rFonts w:hint="eastAsia" w:ascii="宋体" w:hAnsi="宋体" w:eastAsia="宋体"/>
          <w:sz w:val="24"/>
        </w:rPr>
        <w:t>成功转让的发明专利按照转让的金额由奖学金评审委员会确定分值（不超过5分）。</w:t>
      </w:r>
    </w:p>
    <w:p w14:paraId="25E3888B">
      <w:pPr>
        <w:pStyle w:val="9"/>
        <w:spacing w:line="360" w:lineRule="auto"/>
        <w:ind w:firstLine="480"/>
        <w:rPr>
          <w:rFonts w:hint="eastAsia" w:ascii="宋体" w:hAnsi="宋体" w:eastAsia="宋体"/>
          <w:sz w:val="24"/>
        </w:rPr>
      </w:pPr>
      <w:r>
        <w:rPr>
          <w:rFonts w:hint="eastAsia" w:ascii="宋体" w:hAnsi="宋体" w:eastAsia="宋体"/>
          <w:sz w:val="24"/>
        </w:rPr>
        <w:t>（2）发明人排名仅考虑前三名，第一发明人系数为</w:t>
      </w:r>
      <w:r>
        <w:rPr>
          <w:rFonts w:ascii="宋体" w:hAnsi="宋体" w:eastAsia="宋体"/>
          <w:sz w:val="24"/>
        </w:rPr>
        <w:t>1</w:t>
      </w:r>
      <w:r>
        <w:rPr>
          <w:rFonts w:hint="eastAsia" w:ascii="宋体" w:hAnsi="宋体" w:eastAsia="宋体"/>
          <w:sz w:val="24"/>
        </w:rPr>
        <w:t>，</w:t>
      </w:r>
      <w:r>
        <w:rPr>
          <w:rFonts w:ascii="宋体" w:hAnsi="宋体" w:eastAsia="宋体"/>
          <w:sz w:val="24"/>
        </w:rPr>
        <w:t>第二发明人系数为0.5</w:t>
      </w:r>
      <w:r>
        <w:rPr>
          <w:rFonts w:hint="eastAsia" w:ascii="宋体" w:hAnsi="宋体" w:eastAsia="宋体"/>
          <w:sz w:val="24"/>
        </w:rPr>
        <w:t>，第三发明人系数</w:t>
      </w:r>
      <w:r>
        <w:rPr>
          <w:rFonts w:ascii="宋体" w:hAnsi="宋体" w:eastAsia="宋体"/>
          <w:sz w:val="24"/>
        </w:rPr>
        <w:t>为0.2。</w:t>
      </w:r>
    </w:p>
    <w:p w14:paraId="0D819BD9">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3.专著的认定及其分值计算</w:t>
      </w:r>
    </w:p>
    <w:p w14:paraId="058C8F67">
      <w:pPr>
        <w:pStyle w:val="9"/>
        <w:spacing w:line="360" w:lineRule="auto"/>
        <w:ind w:firstLine="480"/>
        <w:rPr>
          <w:rFonts w:hint="eastAsia" w:ascii="宋体" w:hAnsi="宋体" w:eastAsia="宋体"/>
          <w:sz w:val="24"/>
        </w:rPr>
      </w:pPr>
      <w:r>
        <w:rPr>
          <w:rFonts w:hint="eastAsia" w:ascii="宋体" w:hAnsi="宋体" w:eastAsia="宋体"/>
          <w:sz w:val="24"/>
        </w:rPr>
        <w:t>（1）主编的原始科研性专著按照1区论文的计分标准计算，</w:t>
      </w:r>
      <w:r>
        <w:rPr>
          <w:rFonts w:ascii="宋体" w:hAnsi="宋体" w:eastAsia="宋体"/>
          <w:sz w:val="24"/>
        </w:rPr>
        <w:t>参编的专著仅作为参考</w:t>
      </w:r>
      <w:r>
        <w:rPr>
          <w:rFonts w:hint="eastAsia" w:ascii="宋体" w:hAnsi="宋体" w:eastAsia="宋体"/>
          <w:sz w:val="24"/>
        </w:rPr>
        <w:t>，</w:t>
      </w:r>
      <w:r>
        <w:rPr>
          <w:rFonts w:ascii="宋体" w:hAnsi="宋体" w:eastAsia="宋体"/>
          <w:sz w:val="24"/>
        </w:rPr>
        <w:t>不</w:t>
      </w:r>
      <w:r>
        <w:rPr>
          <w:rFonts w:hint="eastAsia" w:ascii="宋体" w:hAnsi="宋体" w:eastAsia="宋体"/>
          <w:sz w:val="24"/>
        </w:rPr>
        <w:t>计算</w:t>
      </w:r>
      <w:r>
        <w:rPr>
          <w:rFonts w:ascii="宋体" w:hAnsi="宋体" w:eastAsia="宋体"/>
          <w:sz w:val="24"/>
        </w:rPr>
        <w:t>分值。</w:t>
      </w:r>
    </w:p>
    <w:p w14:paraId="1FABC374">
      <w:pPr>
        <w:pStyle w:val="9"/>
        <w:spacing w:line="360" w:lineRule="auto"/>
        <w:ind w:firstLine="480"/>
        <w:rPr>
          <w:rFonts w:hint="eastAsia" w:ascii="宋体" w:hAnsi="宋体" w:eastAsia="宋体"/>
          <w:bCs/>
          <w:sz w:val="24"/>
        </w:rPr>
      </w:pPr>
      <w:r>
        <w:rPr>
          <w:rFonts w:hint="eastAsia" w:ascii="宋体" w:hAnsi="宋体" w:eastAsia="宋体" w:cs="Segoe UI"/>
          <w:bCs/>
          <w:sz w:val="24"/>
        </w:rPr>
        <w:t>（2）教育学类专业出版书籍的分值计算标准：</w:t>
      </w:r>
    </w:p>
    <w:tbl>
      <w:tblPr>
        <w:tblStyle w:val="5"/>
        <w:tblW w:w="4849" w:type="pct"/>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2"/>
        <w:gridCol w:w="1379"/>
        <w:gridCol w:w="1319"/>
        <w:gridCol w:w="1349"/>
        <w:gridCol w:w="1306"/>
      </w:tblGrid>
      <w:tr w14:paraId="2CA9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761" w:type="pct"/>
            <w:tcBorders>
              <w:top w:val="single" w:color="auto" w:sz="4" w:space="0"/>
              <w:left w:val="single" w:color="auto" w:sz="4" w:space="0"/>
              <w:bottom w:val="single" w:color="auto" w:sz="4" w:space="0"/>
              <w:right w:val="single" w:color="auto" w:sz="4" w:space="0"/>
            </w:tcBorders>
            <w:shd w:val="clear" w:color="auto" w:fill="D9D9D9"/>
            <w:vAlign w:val="center"/>
          </w:tcPr>
          <w:p w14:paraId="491D57F3">
            <w:pPr>
              <w:snapToGrid w:val="0"/>
              <w:spacing w:line="100" w:lineRule="atLeast"/>
              <w:jc w:val="center"/>
              <w:rPr>
                <w:rFonts w:hint="eastAsia" w:ascii="宋体" w:hAnsi="宋体" w:eastAsia="宋体"/>
                <w:b/>
                <w:bCs/>
                <w:szCs w:val="21"/>
              </w:rPr>
            </w:pPr>
            <w:r>
              <w:rPr>
                <w:rFonts w:hint="eastAsia" w:ascii="宋体" w:hAnsi="宋体" w:eastAsia="宋体"/>
                <w:b/>
                <w:bCs/>
                <w:szCs w:val="21"/>
              </w:rPr>
              <w:t>书籍类型</w:t>
            </w:r>
          </w:p>
        </w:tc>
        <w:tc>
          <w:tcPr>
            <w:tcW w:w="834" w:type="pct"/>
            <w:tcBorders>
              <w:top w:val="single" w:color="auto" w:sz="4" w:space="0"/>
              <w:left w:val="single" w:color="auto" w:sz="4" w:space="0"/>
              <w:bottom w:val="single" w:color="auto" w:sz="4" w:space="0"/>
              <w:right w:val="single" w:color="auto" w:sz="4" w:space="0"/>
            </w:tcBorders>
            <w:shd w:val="clear" w:color="auto" w:fill="D9D9D9"/>
            <w:vAlign w:val="center"/>
          </w:tcPr>
          <w:p w14:paraId="65911E44">
            <w:pPr>
              <w:snapToGrid w:val="0"/>
              <w:spacing w:line="100" w:lineRule="atLeast"/>
              <w:jc w:val="center"/>
              <w:rPr>
                <w:rFonts w:hint="eastAsia" w:ascii="宋体" w:hAnsi="宋体" w:eastAsia="宋体"/>
                <w:b/>
                <w:bCs/>
                <w:szCs w:val="21"/>
              </w:rPr>
            </w:pPr>
            <w:r>
              <w:rPr>
                <w:rFonts w:hint="eastAsia" w:ascii="宋体" w:hAnsi="宋体" w:eastAsia="宋体"/>
                <w:b/>
                <w:bCs/>
                <w:szCs w:val="21"/>
              </w:rPr>
              <w:t>独立作者</w:t>
            </w:r>
          </w:p>
        </w:tc>
        <w:tc>
          <w:tcPr>
            <w:tcW w:w="798" w:type="pct"/>
            <w:tcBorders>
              <w:top w:val="single" w:color="auto" w:sz="4" w:space="0"/>
              <w:left w:val="single" w:color="auto" w:sz="4" w:space="0"/>
              <w:bottom w:val="single" w:color="auto" w:sz="4" w:space="0"/>
              <w:right w:val="single" w:color="auto" w:sz="4" w:space="0"/>
            </w:tcBorders>
            <w:shd w:val="clear" w:color="auto" w:fill="D9D9D9"/>
            <w:vAlign w:val="center"/>
          </w:tcPr>
          <w:p w14:paraId="26E09E34">
            <w:pPr>
              <w:snapToGrid w:val="0"/>
              <w:spacing w:line="100" w:lineRule="atLeast"/>
              <w:jc w:val="center"/>
              <w:rPr>
                <w:rFonts w:hint="eastAsia" w:ascii="宋体" w:hAnsi="宋体" w:eastAsia="宋体"/>
                <w:b/>
                <w:bCs/>
                <w:szCs w:val="21"/>
              </w:rPr>
            </w:pPr>
            <w:r>
              <w:rPr>
                <w:rFonts w:hint="eastAsia" w:ascii="宋体" w:hAnsi="宋体" w:eastAsia="宋体"/>
                <w:b/>
                <w:bCs/>
                <w:szCs w:val="21"/>
              </w:rPr>
              <w:t>第一作者</w:t>
            </w:r>
          </w:p>
        </w:tc>
        <w:tc>
          <w:tcPr>
            <w:tcW w:w="816" w:type="pct"/>
            <w:tcBorders>
              <w:top w:val="single" w:color="auto" w:sz="4" w:space="0"/>
              <w:left w:val="single" w:color="auto" w:sz="4" w:space="0"/>
              <w:bottom w:val="single" w:color="auto" w:sz="4" w:space="0"/>
              <w:right w:val="single" w:color="auto" w:sz="4" w:space="0"/>
            </w:tcBorders>
            <w:shd w:val="clear" w:color="auto" w:fill="D9D9D9"/>
            <w:vAlign w:val="center"/>
          </w:tcPr>
          <w:p w14:paraId="7ED4F9CA">
            <w:pPr>
              <w:snapToGrid w:val="0"/>
              <w:spacing w:line="100" w:lineRule="atLeast"/>
              <w:jc w:val="center"/>
              <w:rPr>
                <w:rFonts w:hint="eastAsia" w:ascii="宋体" w:hAnsi="宋体" w:eastAsia="宋体"/>
                <w:b/>
                <w:bCs/>
                <w:szCs w:val="21"/>
              </w:rPr>
            </w:pPr>
            <w:r>
              <w:rPr>
                <w:rFonts w:hint="eastAsia" w:ascii="宋体" w:hAnsi="宋体" w:eastAsia="宋体"/>
                <w:b/>
                <w:bCs/>
                <w:szCs w:val="21"/>
              </w:rPr>
              <w:t>第二作者</w:t>
            </w:r>
          </w:p>
        </w:tc>
        <w:tc>
          <w:tcPr>
            <w:tcW w:w="790" w:type="pct"/>
            <w:tcBorders>
              <w:top w:val="single" w:color="auto" w:sz="4" w:space="0"/>
              <w:left w:val="single" w:color="auto" w:sz="4" w:space="0"/>
              <w:bottom w:val="single" w:color="auto" w:sz="4" w:space="0"/>
              <w:right w:val="single" w:color="auto" w:sz="4" w:space="0"/>
            </w:tcBorders>
            <w:shd w:val="clear" w:color="auto" w:fill="D9D9D9"/>
            <w:vAlign w:val="center"/>
          </w:tcPr>
          <w:p w14:paraId="76642BC7">
            <w:pPr>
              <w:snapToGrid w:val="0"/>
              <w:spacing w:line="100" w:lineRule="atLeast"/>
              <w:jc w:val="center"/>
              <w:rPr>
                <w:rFonts w:hint="eastAsia" w:ascii="宋体" w:hAnsi="宋体" w:eastAsia="宋体"/>
                <w:b/>
                <w:bCs/>
                <w:szCs w:val="21"/>
              </w:rPr>
            </w:pPr>
            <w:r>
              <w:rPr>
                <w:rFonts w:hint="eastAsia" w:ascii="宋体" w:hAnsi="宋体" w:eastAsia="宋体"/>
                <w:b/>
                <w:bCs/>
                <w:szCs w:val="21"/>
              </w:rPr>
              <w:t>其他作者</w:t>
            </w:r>
          </w:p>
        </w:tc>
      </w:tr>
      <w:tr w14:paraId="4622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761" w:type="pct"/>
            <w:tcBorders>
              <w:top w:val="single" w:color="auto" w:sz="4" w:space="0"/>
              <w:left w:val="single" w:color="auto" w:sz="4" w:space="0"/>
              <w:bottom w:val="single" w:color="auto" w:sz="4" w:space="0"/>
              <w:right w:val="single" w:color="auto" w:sz="4" w:space="0"/>
            </w:tcBorders>
            <w:vAlign w:val="center"/>
          </w:tcPr>
          <w:p w14:paraId="15502533">
            <w:pPr>
              <w:snapToGrid w:val="0"/>
              <w:spacing w:line="100" w:lineRule="atLeast"/>
              <w:jc w:val="center"/>
              <w:rPr>
                <w:rFonts w:hint="eastAsia" w:ascii="宋体" w:hAnsi="宋体" w:eastAsia="宋体"/>
                <w:szCs w:val="21"/>
              </w:rPr>
            </w:pPr>
            <w:r>
              <w:rPr>
                <w:rFonts w:hint="eastAsia" w:ascii="宋体" w:hAnsi="宋体" w:eastAsia="宋体"/>
                <w:szCs w:val="21"/>
              </w:rPr>
              <w:t>本专业专著（20万字以上）</w:t>
            </w:r>
          </w:p>
        </w:tc>
        <w:tc>
          <w:tcPr>
            <w:tcW w:w="834" w:type="pct"/>
            <w:tcBorders>
              <w:top w:val="single" w:color="auto" w:sz="4" w:space="0"/>
              <w:left w:val="single" w:color="auto" w:sz="4" w:space="0"/>
              <w:bottom w:val="single" w:color="auto" w:sz="4" w:space="0"/>
              <w:right w:val="single" w:color="auto" w:sz="4" w:space="0"/>
            </w:tcBorders>
            <w:vAlign w:val="center"/>
          </w:tcPr>
          <w:p w14:paraId="556F0222">
            <w:pPr>
              <w:snapToGrid w:val="0"/>
              <w:spacing w:line="100" w:lineRule="atLeast"/>
              <w:jc w:val="center"/>
              <w:rPr>
                <w:rFonts w:hint="eastAsia" w:ascii="宋体" w:hAnsi="宋体" w:eastAsia="宋体"/>
                <w:szCs w:val="21"/>
              </w:rPr>
            </w:pPr>
            <w:r>
              <w:rPr>
                <w:rFonts w:hint="eastAsia" w:ascii="宋体" w:hAnsi="宋体" w:eastAsia="宋体"/>
                <w:szCs w:val="21"/>
              </w:rPr>
              <w:t>15</w:t>
            </w:r>
          </w:p>
        </w:tc>
        <w:tc>
          <w:tcPr>
            <w:tcW w:w="798" w:type="pct"/>
            <w:tcBorders>
              <w:top w:val="single" w:color="auto" w:sz="4" w:space="0"/>
              <w:left w:val="single" w:color="auto" w:sz="4" w:space="0"/>
              <w:bottom w:val="single" w:color="auto" w:sz="4" w:space="0"/>
              <w:right w:val="single" w:color="auto" w:sz="4" w:space="0"/>
            </w:tcBorders>
            <w:vAlign w:val="center"/>
          </w:tcPr>
          <w:p w14:paraId="4FCA0DFB">
            <w:pPr>
              <w:snapToGrid w:val="0"/>
              <w:spacing w:line="100" w:lineRule="atLeast"/>
              <w:jc w:val="center"/>
              <w:rPr>
                <w:rFonts w:hint="eastAsia" w:ascii="宋体" w:hAnsi="宋体" w:eastAsia="宋体"/>
                <w:szCs w:val="21"/>
              </w:rPr>
            </w:pPr>
            <w:r>
              <w:rPr>
                <w:rFonts w:hint="eastAsia" w:ascii="宋体" w:hAnsi="宋体" w:eastAsia="宋体"/>
                <w:szCs w:val="21"/>
              </w:rPr>
              <w:t>9</w:t>
            </w:r>
          </w:p>
        </w:tc>
        <w:tc>
          <w:tcPr>
            <w:tcW w:w="816" w:type="pct"/>
            <w:tcBorders>
              <w:top w:val="single" w:color="auto" w:sz="4" w:space="0"/>
              <w:left w:val="single" w:color="auto" w:sz="4" w:space="0"/>
              <w:bottom w:val="single" w:color="auto" w:sz="4" w:space="0"/>
              <w:right w:val="single" w:color="auto" w:sz="4" w:space="0"/>
            </w:tcBorders>
            <w:vAlign w:val="center"/>
          </w:tcPr>
          <w:p w14:paraId="15BB9F91">
            <w:pPr>
              <w:snapToGrid w:val="0"/>
              <w:spacing w:line="100" w:lineRule="atLeast"/>
              <w:jc w:val="center"/>
              <w:rPr>
                <w:rFonts w:hint="eastAsia" w:ascii="宋体" w:hAnsi="宋体" w:eastAsia="宋体"/>
                <w:szCs w:val="21"/>
              </w:rPr>
            </w:pPr>
            <w:r>
              <w:rPr>
                <w:rFonts w:ascii="宋体" w:hAnsi="宋体" w:eastAsia="宋体"/>
                <w:szCs w:val="21"/>
              </w:rPr>
              <w:t>第一</w:t>
            </w:r>
            <w:r>
              <w:rPr>
                <w:rFonts w:hint="eastAsia" w:ascii="宋体" w:hAnsi="宋体" w:eastAsia="宋体"/>
                <w:szCs w:val="21"/>
              </w:rPr>
              <w:t>*0.4</w:t>
            </w:r>
          </w:p>
        </w:tc>
        <w:tc>
          <w:tcPr>
            <w:tcW w:w="790" w:type="pct"/>
            <w:tcBorders>
              <w:top w:val="single" w:color="auto" w:sz="4" w:space="0"/>
              <w:left w:val="single" w:color="auto" w:sz="4" w:space="0"/>
              <w:bottom w:val="single" w:color="auto" w:sz="4" w:space="0"/>
              <w:right w:val="single" w:color="auto" w:sz="4" w:space="0"/>
            </w:tcBorders>
            <w:vAlign w:val="center"/>
          </w:tcPr>
          <w:p w14:paraId="7101BD79">
            <w:pPr>
              <w:snapToGrid w:val="0"/>
              <w:spacing w:line="100" w:lineRule="atLeast"/>
              <w:jc w:val="center"/>
              <w:rPr>
                <w:rFonts w:hint="eastAsia" w:ascii="宋体" w:hAnsi="宋体" w:eastAsia="宋体"/>
                <w:szCs w:val="21"/>
              </w:rPr>
            </w:pPr>
            <w:r>
              <w:rPr>
                <w:rFonts w:ascii="宋体" w:hAnsi="宋体" w:eastAsia="宋体"/>
                <w:szCs w:val="21"/>
              </w:rPr>
              <w:t>第一</w:t>
            </w:r>
            <w:r>
              <w:rPr>
                <w:rFonts w:hint="eastAsia" w:ascii="宋体" w:hAnsi="宋体" w:eastAsia="宋体"/>
                <w:szCs w:val="21"/>
              </w:rPr>
              <w:t>*0.2</w:t>
            </w:r>
          </w:p>
        </w:tc>
      </w:tr>
      <w:tr w14:paraId="2D9C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761" w:type="pct"/>
            <w:tcBorders>
              <w:top w:val="single" w:color="auto" w:sz="4" w:space="0"/>
              <w:left w:val="single" w:color="auto" w:sz="4" w:space="0"/>
              <w:bottom w:val="single" w:color="auto" w:sz="4" w:space="0"/>
              <w:right w:val="single" w:color="auto" w:sz="4" w:space="0"/>
            </w:tcBorders>
            <w:vAlign w:val="center"/>
          </w:tcPr>
          <w:p w14:paraId="143E0FC8">
            <w:pPr>
              <w:snapToGrid w:val="0"/>
              <w:spacing w:line="100" w:lineRule="atLeast"/>
              <w:jc w:val="center"/>
              <w:rPr>
                <w:rFonts w:hint="eastAsia" w:ascii="宋体" w:hAnsi="宋体" w:eastAsia="宋体"/>
                <w:szCs w:val="21"/>
              </w:rPr>
            </w:pPr>
            <w:r>
              <w:rPr>
                <w:rFonts w:hint="eastAsia" w:ascii="宋体" w:hAnsi="宋体" w:eastAsia="宋体"/>
                <w:szCs w:val="21"/>
              </w:rPr>
              <w:t>本专业专著（10-20万字）</w:t>
            </w:r>
          </w:p>
        </w:tc>
        <w:tc>
          <w:tcPr>
            <w:tcW w:w="834" w:type="pct"/>
            <w:tcBorders>
              <w:top w:val="single" w:color="auto" w:sz="4" w:space="0"/>
              <w:left w:val="single" w:color="auto" w:sz="4" w:space="0"/>
              <w:bottom w:val="single" w:color="auto" w:sz="4" w:space="0"/>
              <w:right w:val="single" w:color="auto" w:sz="4" w:space="0"/>
            </w:tcBorders>
            <w:vAlign w:val="center"/>
          </w:tcPr>
          <w:p w14:paraId="1A692B23">
            <w:pPr>
              <w:snapToGrid w:val="0"/>
              <w:spacing w:line="100" w:lineRule="atLeast"/>
              <w:jc w:val="center"/>
              <w:rPr>
                <w:rFonts w:hint="eastAsia" w:ascii="宋体" w:hAnsi="宋体" w:eastAsia="宋体"/>
                <w:szCs w:val="21"/>
              </w:rPr>
            </w:pPr>
            <w:r>
              <w:rPr>
                <w:rFonts w:hint="eastAsia" w:ascii="宋体" w:hAnsi="宋体" w:eastAsia="宋体"/>
                <w:szCs w:val="21"/>
              </w:rPr>
              <w:t>12</w:t>
            </w:r>
          </w:p>
        </w:tc>
        <w:tc>
          <w:tcPr>
            <w:tcW w:w="798" w:type="pct"/>
            <w:tcBorders>
              <w:top w:val="single" w:color="auto" w:sz="4" w:space="0"/>
              <w:left w:val="single" w:color="auto" w:sz="4" w:space="0"/>
              <w:bottom w:val="single" w:color="auto" w:sz="4" w:space="0"/>
              <w:right w:val="single" w:color="auto" w:sz="4" w:space="0"/>
            </w:tcBorders>
            <w:vAlign w:val="center"/>
          </w:tcPr>
          <w:p w14:paraId="56617D2F">
            <w:pPr>
              <w:snapToGrid w:val="0"/>
              <w:spacing w:line="100" w:lineRule="atLeast"/>
              <w:jc w:val="center"/>
              <w:rPr>
                <w:rFonts w:hint="eastAsia" w:ascii="宋体" w:hAnsi="宋体" w:eastAsia="宋体"/>
                <w:szCs w:val="21"/>
              </w:rPr>
            </w:pPr>
            <w:r>
              <w:rPr>
                <w:rFonts w:hint="eastAsia" w:ascii="宋体" w:hAnsi="宋体" w:eastAsia="宋体"/>
                <w:szCs w:val="21"/>
              </w:rPr>
              <w:t>7</w:t>
            </w:r>
          </w:p>
        </w:tc>
        <w:tc>
          <w:tcPr>
            <w:tcW w:w="816" w:type="pct"/>
            <w:tcBorders>
              <w:top w:val="single" w:color="auto" w:sz="4" w:space="0"/>
              <w:left w:val="single" w:color="auto" w:sz="4" w:space="0"/>
              <w:bottom w:val="single" w:color="auto" w:sz="4" w:space="0"/>
              <w:right w:val="single" w:color="auto" w:sz="4" w:space="0"/>
            </w:tcBorders>
            <w:vAlign w:val="center"/>
          </w:tcPr>
          <w:p w14:paraId="28C1457C">
            <w:pPr>
              <w:snapToGrid w:val="0"/>
              <w:spacing w:line="100" w:lineRule="atLeast"/>
              <w:jc w:val="center"/>
              <w:rPr>
                <w:rFonts w:hint="eastAsia" w:ascii="宋体" w:hAnsi="宋体" w:eastAsia="宋体"/>
                <w:szCs w:val="21"/>
              </w:rPr>
            </w:pPr>
            <w:r>
              <w:rPr>
                <w:rFonts w:ascii="宋体" w:hAnsi="宋体" w:eastAsia="宋体"/>
                <w:szCs w:val="21"/>
              </w:rPr>
              <w:t>同上</w:t>
            </w:r>
          </w:p>
        </w:tc>
        <w:tc>
          <w:tcPr>
            <w:tcW w:w="790" w:type="pct"/>
            <w:tcBorders>
              <w:top w:val="single" w:color="auto" w:sz="4" w:space="0"/>
              <w:left w:val="single" w:color="auto" w:sz="4" w:space="0"/>
              <w:bottom w:val="single" w:color="auto" w:sz="4" w:space="0"/>
              <w:right w:val="single" w:color="auto" w:sz="4" w:space="0"/>
            </w:tcBorders>
            <w:vAlign w:val="center"/>
          </w:tcPr>
          <w:p w14:paraId="40BB829A">
            <w:pPr>
              <w:snapToGrid w:val="0"/>
              <w:spacing w:line="100" w:lineRule="atLeast"/>
              <w:jc w:val="center"/>
              <w:rPr>
                <w:rFonts w:hint="eastAsia" w:ascii="宋体" w:hAnsi="宋体" w:eastAsia="宋体"/>
                <w:szCs w:val="21"/>
              </w:rPr>
            </w:pPr>
            <w:r>
              <w:rPr>
                <w:rFonts w:ascii="宋体" w:hAnsi="宋体" w:eastAsia="宋体"/>
                <w:szCs w:val="21"/>
              </w:rPr>
              <w:t>同上</w:t>
            </w:r>
          </w:p>
        </w:tc>
      </w:tr>
      <w:tr w14:paraId="0779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761" w:type="pct"/>
            <w:tcBorders>
              <w:top w:val="single" w:color="auto" w:sz="4" w:space="0"/>
              <w:left w:val="single" w:color="auto" w:sz="4" w:space="0"/>
              <w:bottom w:val="single" w:color="auto" w:sz="4" w:space="0"/>
              <w:right w:val="single" w:color="auto" w:sz="4" w:space="0"/>
            </w:tcBorders>
            <w:vAlign w:val="center"/>
          </w:tcPr>
          <w:p w14:paraId="4C999783">
            <w:pPr>
              <w:snapToGrid w:val="0"/>
              <w:spacing w:line="100" w:lineRule="atLeast"/>
              <w:jc w:val="center"/>
              <w:rPr>
                <w:rFonts w:hint="eastAsia" w:ascii="宋体" w:hAnsi="宋体" w:eastAsia="宋体"/>
                <w:szCs w:val="21"/>
              </w:rPr>
            </w:pPr>
            <w:r>
              <w:rPr>
                <w:rFonts w:ascii="宋体" w:hAnsi="宋体" w:eastAsia="宋体"/>
                <w:szCs w:val="21"/>
              </w:rPr>
              <w:t>本专业非专著书籍（含译著）</w:t>
            </w:r>
          </w:p>
        </w:tc>
        <w:tc>
          <w:tcPr>
            <w:tcW w:w="834" w:type="pct"/>
            <w:tcBorders>
              <w:top w:val="single" w:color="auto" w:sz="4" w:space="0"/>
              <w:left w:val="single" w:color="auto" w:sz="4" w:space="0"/>
              <w:bottom w:val="single" w:color="auto" w:sz="4" w:space="0"/>
              <w:right w:val="single" w:color="auto" w:sz="4" w:space="0"/>
            </w:tcBorders>
            <w:vAlign w:val="center"/>
          </w:tcPr>
          <w:p w14:paraId="1CC74C92">
            <w:pPr>
              <w:snapToGrid w:val="0"/>
              <w:spacing w:line="100" w:lineRule="atLeast"/>
              <w:jc w:val="center"/>
              <w:rPr>
                <w:rFonts w:hint="eastAsia" w:ascii="宋体" w:hAnsi="宋体" w:eastAsia="宋体"/>
                <w:szCs w:val="21"/>
              </w:rPr>
            </w:pPr>
            <w:r>
              <w:rPr>
                <w:rFonts w:hint="eastAsia" w:ascii="宋体" w:hAnsi="宋体" w:eastAsia="宋体"/>
                <w:szCs w:val="21"/>
              </w:rPr>
              <w:t>3</w:t>
            </w:r>
          </w:p>
        </w:tc>
        <w:tc>
          <w:tcPr>
            <w:tcW w:w="798" w:type="pct"/>
            <w:tcBorders>
              <w:top w:val="single" w:color="auto" w:sz="4" w:space="0"/>
              <w:left w:val="single" w:color="auto" w:sz="4" w:space="0"/>
              <w:bottom w:val="single" w:color="auto" w:sz="4" w:space="0"/>
              <w:right w:val="single" w:color="auto" w:sz="4" w:space="0"/>
            </w:tcBorders>
            <w:vAlign w:val="center"/>
          </w:tcPr>
          <w:p w14:paraId="691FA8B9">
            <w:pPr>
              <w:snapToGrid w:val="0"/>
              <w:spacing w:line="100" w:lineRule="atLeast"/>
              <w:jc w:val="center"/>
              <w:rPr>
                <w:rFonts w:hint="eastAsia" w:ascii="宋体" w:hAnsi="宋体" w:eastAsia="宋体"/>
                <w:szCs w:val="21"/>
              </w:rPr>
            </w:pPr>
            <w:r>
              <w:rPr>
                <w:rFonts w:hint="eastAsia" w:ascii="宋体" w:hAnsi="宋体" w:eastAsia="宋体"/>
                <w:szCs w:val="21"/>
              </w:rPr>
              <w:t>2</w:t>
            </w:r>
          </w:p>
        </w:tc>
        <w:tc>
          <w:tcPr>
            <w:tcW w:w="816" w:type="pct"/>
            <w:tcBorders>
              <w:top w:val="single" w:color="auto" w:sz="4" w:space="0"/>
              <w:left w:val="single" w:color="auto" w:sz="4" w:space="0"/>
              <w:bottom w:val="single" w:color="auto" w:sz="4" w:space="0"/>
              <w:right w:val="single" w:color="auto" w:sz="4" w:space="0"/>
            </w:tcBorders>
            <w:vAlign w:val="center"/>
          </w:tcPr>
          <w:p w14:paraId="08F78FA3">
            <w:pPr>
              <w:snapToGrid w:val="0"/>
              <w:spacing w:line="100" w:lineRule="atLeast"/>
              <w:jc w:val="center"/>
              <w:rPr>
                <w:rFonts w:hint="eastAsia" w:ascii="宋体" w:hAnsi="宋体" w:eastAsia="宋体"/>
                <w:szCs w:val="21"/>
              </w:rPr>
            </w:pPr>
            <w:r>
              <w:rPr>
                <w:rFonts w:ascii="宋体" w:hAnsi="宋体" w:eastAsia="宋体"/>
                <w:szCs w:val="21"/>
              </w:rPr>
              <w:t>同上</w:t>
            </w:r>
          </w:p>
        </w:tc>
        <w:tc>
          <w:tcPr>
            <w:tcW w:w="790" w:type="pct"/>
            <w:tcBorders>
              <w:top w:val="single" w:color="auto" w:sz="4" w:space="0"/>
              <w:left w:val="single" w:color="auto" w:sz="4" w:space="0"/>
              <w:bottom w:val="single" w:color="auto" w:sz="4" w:space="0"/>
              <w:right w:val="single" w:color="auto" w:sz="4" w:space="0"/>
            </w:tcBorders>
            <w:vAlign w:val="center"/>
          </w:tcPr>
          <w:p w14:paraId="53CC7660">
            <w:pPr>
              <w:snapToGrid w:val="0"/>
              <w:spacing w:line="100" w:lineRule="atLeast"/>
              <w:jc w:val="center"/>
              <w:rPr>
                <w:rFonts w:hint="eastAsia" w:ascii="宋体" w:hAnsi="宋体" w:eastAsia="宋体"/>
                <w:szCs w:val="21"/>
              </w:rPr>
            </w:pPr>
            <w:r>
              <w:rPr>
                <w:rFonts w:ascii="宋体" w:hAnsi="宋体" w:eastAsia="宋体"/>
                <w:szCs w:val="21"/>
              </w:rPr>
              <w:t>同上</w:t>
            </w:r>
          </w:p>
        </w:tc>
      </w:tr>
    </w:tbl>
    <w:p w14:paraId="5EEFEB32">
      <w:pPr>
        <w:pStyle w:val="9"/>
        <w:rPr>
          <w:rFonts w:hint="eastAsia" w:ascii="宋体" w:hAnsi="宋体" w:eastAsia="宋体"/>
          <w:szCs w:val="21"/>
        </w:rPr>
      </w:pPr>
      <w:r>
        <w:rPr>
          <w:rFonts w:ascii="宋体" w:hAnsi="宋体" w:eastAsia="宋体"/>
          <w:szCs w:val="21"/>
        </w:rPr>
        <w:t>* 非专著书籍最高限</w:t>
      </w:r>
      <w:r>
        <w:rPr>
          <w:rFonts w:hint="eastAsia" w:ascii="宋体" w:hAnsi="宋体" w:eastAsia="宋体"/>
          <w:szCs w:val="21"/>
        </w:rPr>
        <w:t>6</w:t>
      </w:r>
      <w:r>
        <w:rPr>
          <w:rFonts w:ascii="宋体" w:hAnsi="宋体" w:eastAsia="宋体"/>
          <w:szCs w:val="21"/>
        </w:rPr>
        <w:t>分。本项仅计算实际参与写作的作者分值，参编不计分。“独立作者”、“第一作者”、“第二作者”以书籍封面认定作者为准，“其他作者”指封面除第一、第二作者以外的作者，以及书中明确标明的书籍各章节写作者，且所撰写章节字数需达到1万字以上。</w:t>
      </w:r>
    </w:p>
    <w:p w14:paraId="5E29AD2C">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4.多篇论文分值的计算方式（鼓励发高质量论文）</w:t>
      </w:r>
    </w:p>
    <w:p w14:paraId="39324A74">
      <w:pPr>
        <w:spacing w:line="360" w:lineRule="auto"/>
        <w:ind w:firstLine="480" w:firstLineChars="200"/>
        <w:rPr>
          <w:rFonts w:hint="eastAsia" w:ascii="宋体" w:hAnsi="宋体" w:eastAsia="宋体"/>
          <w:sz w:val="24"/>
        </w:rPr>
      </w:pPr>
      <w:r>
        <w:rPr>
          <w:rFonts w:hint="eastAsia" w:ascii="宋体" w:hAnsi="宋体" w:eastAsia="宋体"/>
          <w:sz w:val="24"/>
        </w:rPr>
        <w:t>将</w:t>
      </w:r>
      <w:r>
        <w:rPr>
          <w:rFonts w:ascii="宋体" w:hAnsi="宋体" w:eastAsia="宋体"/>
          <w:sz w:val="24"/>
        </w:rPr>
        <w:t>学生</w:t>
      </w:r>
      <w:r>
        <w:rPr>
          <w:rFonts w:hint="eastAsia" w:ascii="宋体" w:hAnsi="宋体" w:eastAsia="宋体"/>
          <w:sz w:val="24"/>
        </w:rPr>
        <w:t>分区最高</w:t>
      </w:r>
      <w:r>
        <w:rPr>
          <w:rFonts w:ascii="宋体" w:hAnsi="宋体" w:eastAsia="宋体"/>
          <w:sz w:val="24"/>
        </w:rPr>
        <w:t>的论文作为</w:t>
      </w:r>
      <w:r>
        <w:rPr>
          <w:rFonts w:hint="eastAsia" w:ascii="宋体" w:hAnsi="宋体" w:eastAsia="宋体"/>
          <w:sz w:val="24"/>
        </w:rPr>
        <w:t>第一篇论文（由</w:t>
      </w:r>
      <w:r>
        <w:rPr>
          <w:rFonts w:ascii="宋体" w:hAnsi="宋体" w:eastAsia="宋体"/>
          <w:sz w:val="24"/>
        </w:rPr>
        <w:t>学生自行决定</w:t>
      </w:r>
      <w:r>
        <w:rPr>
          <w:rFonts w:hint="eastAsia" w:ascii="宋体" w:hAnsi="宋体" w:eastAsia="宋体"/>
          <w:sz w:val="24"/>
        </w:rPr>
        <w:t>），</w:t>
      </w:r>
      <w:r>
        <w:rPr>
          <w:rFonts w:ascii="宋体" w:hAnsi="宋体" w:eastAsia="宋体"/>
          <w:sz w:val="24"/>
        </w:rPr>
        <w:t>其系数为1，第二篇论文系数为0.7</w:t>
      </w:r>
      <w:r>
        <w:rPr>
          <w:rFonts w:hint="eastAsia" w:ascii="宋体" w:hAnsi="宋体" w:eastAsia="宋体"/>
          <w:sz w:val="24"/>
        </w:rPr>
        <w:t>，第三篇论文系数为</w:t>
      </w:r>
      <w:r>
        <w:rPr>
          <w:rFonts w:ascii="宋体" w:hAnsi="宋体" w:eastAsia="宋体"/>
          <w:sz w:val="24"/>
        </w:rPr>
        <w:t>0.5</w:t>
      </w:r>
      <w:r>
        <w:rPr>
          <w:rFonts w:hint="eastAsia" w:ascii="宋体" w:hAnsi="宋体" w:eastAsia="宋体"/>
          <w:sz w:val="24"/>
        </w:rPr>
        <w:t>。</w:t>
      </w:r>
    </w:p>
    <w:p w14:paraId="00938963">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5.学术活动的分值计算</w:t>
      </w:r>
    </w:p>
    <w:p w14:paraId="31506801">
      <w:pPr>
        <w:pStyle w:val="9"/>
        <w:spacing w:line="360" w:lineRule="auto"/>
        <w:ind w:firstLine="480"/>
        <w:rPr>
          <w:rFonts w:hint="eastAsia" w:ascii="宋体" w:hAnsi="宋体" w:eastAsia="宋体"/>
          <w:b/>
          <w:sz w:val="24"/>
        </w:rPr>
      </w:pPr>
      <w:r>
        <w:rPr>
          <w:rFonts w:hint="eastAsia" w:ascii="宋体" w:hAnsi="宋体" w:eastAsia="宋体"/>
          <w:sz w:val="24"/>
        </w:rPr>
        <w:t>参加国际重要学术会议，标准参见学校相关规定，</w:t>
      </w:r>
      <w:r>
        <w:rPr>
          <w:rFonts w:ascii="宋体" w:hAnsi="宋体" w:eastAsia="宋体"/>
          <w:sz w:val="24"/>
        </w:rPr>
        <w:t>会议口头报告</w:t>
      </w:r>
      <w:r>
        <w:rPr>
          <w:rFonts w:hint="eastAsia" w:ascii="宋体" w:hAnsi="宋体" w:eastAsia="宋体"/>
          <w:sz w:val="24"/>
        </w:rPr>
        <w:t>或优秀获奖海报</w:t>
      </w:r>
      <w:r>
        <w:rPr>
          <w:rFonts w:ascii="宋体" w:hAnsi="宋体" w:eastAsia="宋体"/>
          <w:sz w:val="24"/>
        </w:rPr>
        <w:t>3分</w:t>
      </w:r>
      <w:r>
        <w:rPr>
          <w:rFonts w:hint="eastAsia" w:ascii="宋体" w:hAnsi="宋体" w:eastAsia="宋体"/>
          <w:sz w:val="24"/>
        </w:rPr>
        <w:t>；国内</w:t>
      </w:r>
      <w:r>
        <w:rPr>
          <w:rFonts w:ascii="宋体" w:hAnsi="宋体" w:eastAsia="宋体"/>
          <w:sz w:val="24"/>
        </w:rPr>
        <w:t>一级学会学术会议</w:t>
      </w:r>
      <w:r>
        <w:rPr>
          <w:rFonts w:hint="eastAsia" w:ascii="宋体" w:hAnsi="宋体" w:eastAsia="宋体"/>
          <w:sz w:val="24"/>
        </w:rPr>
        <w:t>2</w:t>
      </w:r>
      <w:r>
        <w:rPr>
          <w:rFonts w:ascii="宋体" w:hAnsi="宋体" w:eastAsia="宋体"/>
          <w:sz w:val="24"/>
        </w:rPr>
        <w:t>分</w:t>
      </w:r>
      <w:r>
        <w:rPr>
          <w:rFonts w:hint="eastAsia" w:ascii="宋体" w:hAnsi="宋体" w:eastAsia="宋体"/>
          <w:sz w:val="24"/>
        </w:rPr>
        <w:t>；国内一级学会分会学术会议1分</w:t>
      </w:r>
      <w:r>
        <w:rPr>
          <w:rFonts w:ascii="宋体" w:hAnsi="宋体" w:eastAsia="宋体"/>
          <w:sz w:val="24"/>
        </w:rPr>
        <w:t>。</w:t>
      </w:r>
      <w:r>
        <w:rPr>
          <w:rFonts w:hint="eastAsia" w:ascii="宋体" w:hAnsi="宋体" w:eastAsia="宋体"/>
          <w:sz w:val="24"/>
        </w:rPr>
        <w:t>本项目累计不超过3分。</w:t>
      </w:r>
    </w:p>
    <w:p w14:paraId="092DC5B4">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6.科创竞赛的分值计算</w:t>
      </w:r>
    </w:p>
    <w:p w14:paraId="316BC5DF">
      <w:pPr>
        <w:pStyle w:val="2"/>
        <w:spacing w:line="360" w:lineRule="auto"/>
        <w:ind w:firstLine="480" w:firstLineChars="200"/>
        <w:rPr>
          <w:rFonts w:hint="eastAsia" w:ascii="宋体" w:hAnsi="宋体" w:eastAsia="宋体"/>
          <w:sz w:val="24"/>
        </w:rPr>
      </w:pPr>
      <w:r>
        <w:rPr>
          <w:rFonts w:hint="eastAsia" w:ascii="宋体" w:hAnsi="宋体" w:eastAsia="宋体"/>
          <w:sz w:val="24"/>
        </w:rPr>
        <w:t>创新创业大赛，如：中国国际大学生创新大赛（原互联网+大赛）、“挑战杯”大学生课外学术科技作品竞赛、“挑战杯”大学生创业计划竞赛、“大夏杯”大学生课外学术科技作品竞赛等；教学技能大赛，如：教育硕士（生物）全国教学技能大赛、“佛年杯”教学技能大赛。具体以校研究生院、创新创业学院、团委发布的竞赛清单为准。</w:t>
      </w:r>
    </w:p>
    <w:p w14:paraId="0B6CE8DB">
      <w:pPr>
        <w:pStyle w:val="9"/>
        <w:spacing w:line="360" w:lineRule="auto"/>
        <w:ind w:firstLine="480"/>
        <w:rPr>
          <w:rFonts w:hint="eastAsia" w:ascii="宋体" w:hAnsi="宋体" w:eastAsia="宋体"/>
          <w:sz w:val="24"/>
        </w:rPr>
      </w:pPr>
      <w:r>
        <w:rPr>
          <w:rFonts w:hint="eastAsia" w:ascii="宋体" w:hAnsi="宋体" w:eastAsia="宋体"/>
          <w:sz w:val="24"/>
        </w:rPr>
        <w:t>国家级比赛根据获奖名次分别为</w:t>
      </w:r>
      <w:r>
        <w:rPr>
          <w:rFonts w:ascii="宋体" w:hAnsi="宋体" w:eastAsia="宋体"/>
          <w:sz w:val="24"/>
        </w:rPr>
        <w:t>15</w:t>
      </w:r>
      <w:r>
        <w:rPr>
          <w:rFonts w:hint="eastAsia" w:ascii="宋体" w:hAnsi="宋体" w:eastAsia="宋体"/>
          <w:sz w:val="24"/>
        </w:rPr>
        <w:t>、7、3分；市级比赛根据获奖名次分别为7、4、</w:t>
      </w:r>
      <w:r>
        <w:rPr>
          <w:rFonts w:ascii="宋体" w:hAnsi="宋体" w:eastAsia="宋体"/>
          <w:sz w:val="24"/>
        </w:rPr>
        <w:t>2</w:t>
      </w:r>
      <w:r>
        <w:rPr>
          <w:rFonts w:hint="eastAsia" w:ascii="宋体" w:hAnsi="宋体" w:eastAsia="宋体"/>
          <w:sz w:val="24"/>
        </w:rPr>
        <w:t>分；获得校级比赛名次为</w:t>
      </w:r>
      <w:r>
        <w:rPr>
          <w:rFonts w:ascii="宋体" w:hAnsi="宋体" w:eastAsia="宋体"/>
          <w:sz w:val="24"/>
        </w:rPr>
        <w:t>2</w:t>
      </w:r>
      <w:r>
        <w:rPr>
          <w:rFonts w:hint="eastAsia" w:ascii="宋体" w:hAnsi="宋体" w:eastAsia="宋体"/>
          <w:sz w:val="24"/>
        </w:rPr>
        <w:t>分。</w:t>
      </w:r>
      <w:r>
        <w:rPr>
          <w:rFonts w:ascii="宋体" w:hAnsi="宋体" w:eastAsia="宋体"/>
          <w:sz w:val="24"/>
        </w:rPr>
        <w:t>同一作品（项目）同时在全国及省级竞赛获奖的，只计最高分，不重复计</w:t>
      </w:r>
      <w:r>
        <w:rPr>
          <w:rFonts w:hint="eastAsia" w:ascii="宋体" w:hAnsi="宋体" w:eastAsia="宋体"/>
          <w:sz w:val="24"/>
        </w:rPr>
        <w:t>。</w:t>
      </w:r>
    </w:p>
    <w:p w14:paraId="1A4EA725">
      <w:pPr>
        <w:pStyle w:val="9"/>
        <w:spacing w:line="360" w:lineRule="auto"/>
        <w:ind w:firstLine="480"/>
        <w:rPr>
          <w:rFonts w:hint="eastAsia" w:ascii="宋体" w:hAnsi="宋体" w:eastAsia="宋体"/>
          <w:sz w:val="24"/>
        </w:rPr>
      </w:pPr>
      <w:r>
        <w:rPr>
          <w:rFonts w:hint="eastAsia" w:ascii="宋体" w:hAnsi="宋体" w:eastAsia="宋体"/>
          <w:sz w:val="24"/>
        </w:rPr>
        <w:t>以团队形式参赛的获奖项目，第一完成人系数为1，第二完成人系数为0.5，第三完成人系数为0.2。</w:t>
      </w:r>
    </w:p>
    <w:p w14:paraId="13E1679B">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7.计算</w:t>
      </w:r>
      <w:r>
        <w:rPr>
          <w:rFonts w:ascii="宋体" w:hAnsi="宋体" w:eastAsia="宋体"/>
          <w:b/>
          <w:sz w:val="24"/>
        </w:rPr>
        <w:t>方式</w:t>
      </w:r>
    </w:p>
    <w:p w14:paraId="11F166F7">
      <w:pPr>
        <w:pStyle w:val="9"/>
        <w:spacing w:line="360" w:lineRule="auto"/>
        <w:ind w:firstLine="480"/>
        <w:rPr>
          <w:rFonts w:hint="eastAsia" w:ascii="宋体" w:hAnsi="宋体" w:eastAsia="宋体"/>
          <w:sz w:val="24"/>
        </w:rPr>
      </w:pPr>
      <w:r>
        <w:rPr>
          <w:rFonts w:hint="eastAsia" w:ascii="宋体" w:hAnsi="宋体" w:eastAsia="宋体"/>
          <w:sz w:val="24"/>
        </w:rPr>
        <w:t>（1）每篇</w:t>
      </w:r>
      <w:r>
        <w:rPr>
          <w:rFonts w:ascii="宋体" w:hAnsi="宋体" w:eastAsia="宋体"/>
          <w:sz w:val="24"/>
        </w:rPr>
        <w:t>论文的分值=</w:t>
      </w:r>
      <w:r>
        <w:rPr>
          <w:rFonts w:hint="eastAsia" w:ascii="宋体" w:hAnsi="宋体" w:eastAsia="宋体"/>
          <w:sz w:val="24"/>
        </w:rPr>
        <w:t>分区</w:t>
      </w:r>
      <w:r>
        <w:rPr>
          <w:rFonts w:ascii="宋体" w:hAnsi="宋体" w:eastAsia="宋体"/>
          <w:sz w:val="24"/>
        </w:rPr>
        <w:t>系数</w:t>
      </w:r>
      <w:r>
        <w:rPr>
          <w:rFonts w:hint="eastAsia" w:ascii="宋体" w:hAnsi="宋体" w:eastAsia="宋体"/>
          <w:sz w:val="24"/>
        </w:rPr>
        <w:t>×作者</w:t>
      </w:r>
      <w:r>
        <w:rPr>
          <w:rFonts w:ascii="宋体" w:hAnsi="宋体" w:eastAsia="宋体"/>
          <w:sz w:val="24"/>
        </w:rPr>
        <w:t>排序</w:t>
      </w:r>
      <w:r>
        <w:rPr>
          <w:rFonts w:hint="eastAsia" w:ascii="宋体" w:hAnsi="宋体" w:eastAsia="宋体"/>
          <w:sz w:val="24"/>
        </w:rPr>
        <w:t>系数×多篇</w:t>
      </w:r>
      <w:r>
        <w:rPr>
          <w:rFonts w:ascii="宋体" w:hAnsi="宋体" w:eastAsia="宋体"/>
          <w:sz w:val="24"/>
        </w:rPr>
        <w:t>论文系数</w:t>
      </w:r>
      <w:r>
        <w:rPr>
          <w:rFonts w:hint="eastAsia" w:ascii="宋体" w:hAnsi="宋体" w:eastAsia="宋体"/>
          <w:sz w:val="24"/>
        </w:rPr>
        <w:t>。</w:t>
      </w:r>
    </w:p>
    <w:p w14:paraId="1896FA1C">
      <w:pPr>
        <w:pStyle w:val="9"/>
        <w:spacing w:line="360" w:lineRule="auto"/>
        <w:ind w:firstLine="480"/>
        <w:rPr>
          <w:rFonts w:hint="eastAsia" w:ascii="宋体" w:hAnsi="宋体" w:eastAsia="宋体"/>
          <w:sz w:val="24"/>
        </w:rPr>
      </w:pPr>
      <w:r>
        <w:rPr>
          <w:rFonts w:hint="eastAsia" w:ascii="宋体" w:hAnsi="宋体" w:eastAsia="宋体"/>
          <w:sz w:val="24"/>
        </w:rPr>
        <w:t>（2） 科研成果总分=论文+专利+专著+学术会议+科创竞赛，</w:t>
      </w:r>
      <w:r>
        <w:rPr>
          <w:rFonts w:hint="eastAsia" w:ascii="宋体" w:hAnsi="宋体" w:eastAsia="宋体"/>
          <w:b/>
          <w:bCs/>
          <w:sz w:val="24"/>
        </w:rPr>
        <w:t>总分以同一学段、同一系别的参选学生最高分为满分，其他学生等比例标准化计算。</w:t>
      </w:r>
    </w:p>
    <w:p w14:paraId="4577B145">
      <w:pPr>
        <w:spacing w:before="156" w:beforeLines="50" w:line="360" w:lineRule="auto"/>
        <w:ind w:firstLine="482" w:firstLineChars="200"/>
        <w:rPr>
          <w:rFonts w:hint="eastAsia" w:ascii="宋体" w:hAnsi="宋体" w:eastAsia="宋体"/>
          <w:b/>
          <w:sz w:val="24"/>
        </w:rPr>
      </w:pPr>
      <w:r>
        <w:rPr>
          <w:rFonts w:hint="eastAsia" w:ascii="宋体" w:hAnsi="宋体" w:eastAsia="宋体"/>
          <w:b/>
          <w:sz w:val="24"/>
        </w:rPr>
        <w:t>8.补充</w:t>
      </w:r>
      <w:r>
        <w:rPr>
          <w:rFonts w:ascii="宋体" w:hAnsi="宋体" w:eastAsia="宋体"/>
          <w:b/>
          <w:sz w:val="24"/>
        </w:rPr>
        <w:t>说明</w:t>
      </w:r>
    </w:p>
    <w:p w14:paraId="75BE438C">
      <w:pPr>
        <w:pStyle w:val="9"/>
        <w:spacing w:line="360" w:lineRule="auto"/>
        <w:ind w:firstLine="480"/>
        <w:rPr>
          <w:rFonts w:hint="eastAsia" w:ascii="宋体" w:hAnsi="宋体" w:eastAsia="宋体"/>
          <w:sz w:val="24"/>
        </w:rPr>
      </w:pPr>
      <w:r>
        <w:rPr>
          <w:rFonts w:hint="eastAsia" w:ascii="宋体" w:hAnsi="宋体" w:eastAsia="宋体"/>
          <w:sz w:val="24"/>
        </w:rPr>
        <w:t>对于存在争议或者分区异常波动的期刊，学院有权根据实际情况调整期刊的计分标准。</w:t>
      </w:r>
    </w:p>
    <w:p w14:paraId="6FF59570">
      <w:pPr>
        <w:spacing w:line="360" w:lineRule="auto"/>
        <w:rPr>
          <w:rFonts w:hint="eastAsia" w:ascii="宋体" w:hAnsi="宋体" w:eastAsia="宋体" w:cs="Segoe UI"/>
          <w:b/>
          <w:sz w:val="24"/>
        </w:rPr>
      </w:pPr>
    </w:p>
    <w:p w14:paraId="171E0BC9">
      <w:pPr>
        <w:spacing w:line="360" w:lineRule="auto"/>
        <w:rPr>
          <w:rFonts w:hint="eastAsia" w:ascii="宋体" w:hAnsi="宋体" w:eastAsia="宋体" w:cs="Segoe UI"/>
          <w:b/>
          <w:sz w:val="24"/>
        </w:rPr>
      </w:pPr>
      <w:r>
        <w:rPr>
          <w:rFonts w:hint="eastAsia" w:ascii="宋体" w:hAnsi="宋体" w:eastAsia="宋体" w:cs="Segoe UI"/>
          <w:b/>
          <w:sz w:val="24"/>
        </w:rPr>
        <w:t>（二）课程成绩（博士无此项、硕士</w:t>
      </w:r>
      <w:r>
        <w:rPr>
          <w:rFonts w:ascii="宋体" w:hAnsi="宋体" w:eastAsia="宋体" w:cs="Segoe UI"/>
          <w:b/>
          <w:sz w:val="24"/>
        </w:rPr>
        <w:t>1</w:t>
      </w:r>
      <w:r>
        <w:rPr>
          <w:rFonts w:hint="eastAsia" w:ascii="宋体" w:hAnsi="宋体" w:eastAsia="宋体" w:cs="Segoe UI"/>
          <w:b/>
          <w:sz w:val="24"/>
        </w:rPr>
        <w:t>0分）</w:t>
      </w:r>
    </w:p>
    <w:p w14:paraId="7AE8B6FC">
      <w:pPr>
        <w:spacing w:line="360" w:lineRule="auto"/>
        <w:ind w:firstLine="480" w:firstLineChars="200"/>
        <w:rPr>
          <w:rFonts w:hint="eastAsia" w:ascii="宋体" w:hAnsi="宋体" w:eastAsia="宋体"/>
          <w:sz w:val="24"/>
        </w:rPr>
      </w:pPr>
      <w:r>
        <w:rPr>
          <w:rFonts w:hint="eastAsia" w:ascii="宋体" w:hAnsi="宋体" w:eastAsia="宋体"/>
          <w:sz w:val="24"/>
        </w:rPr>
        <w:t>1</w:t>
      </w:r>
      <w:r>
        <w:rPr>
          <w:rFonts w:ascii="宋体" w:hAnsi="宋体" w:eastAsia="宋体"/>
          <w:sz w:val="24"/>
        </w:rPr>
        <w:t>.</w:t>
      </w:r>
      <w:r>
        <w:rPr>
          <w:rFonts w:hint="eastAsia" w:ascii="宋体" w:hAnsi="宋体" w:eastAsia="宋体"/>
          <w:sz w:val="24"/>
        </w:rPr>
        <w:t>课程成绩按照</w:t>
      </w:r>
      <w:bookmarkStart w:id="0" w:name="_Hlk71465917"/>
      <w:r>
        <w:rPr>
          <w:rFonts w:hint="eastAsia" w:ascii="宋体" w:hAnsi="宋体" w:eastAsia="宋体"/>
          <w:sz w:val="24"/>
        </w:rPr>
        <w:t>研究生课程的平均绩点</w:t>
      </w:r>
      <w:bookmarkEnd w:id="0"/>
      <w:r>
        <w:rPr>
          <w:rFonts w:hint="eastAsia" w:ascii="宋体" w:hAnsi="宋体" w:eastAsia="宋体"/>
          <w:sz w:val="24"/>
        </w:rPr>
        <w:t>计算，仅统计</w:t>
      </w:r>
      <w:r>
        <w:rPr>
          <w:rFonts w:hint="eastAsia" w:ascii="宋体" w:hAnsi="宋体" w:eastAsia="宋体"/>
          <w:b/>
          <w:sz w:val="24"/>
        </w:rPr>
        <w:t>学位公共课、学位基础课和学位专业课（必修）</w:t>
      </w:r>
      <w:r>
        <w:rPr>
          <w:rFonts w:hint="eastAsia" w:ascii="宋体" w:hAnsi="宋体" w:eastAsia="宋体"/>
          <w:sz w:val="24"/>
        </w:rPr>
        <w:t>。</w:t>
      </w:r>
    </w:p>
    <w:p w14:paraId="79221DDC">
      <w:pPr>
        <w:spacing w:line="360" w:lineRule="auto"/>
        <w:ind w:firstLine="480" w:firstLineChars="200"/>
        <w:rPr>
          <w:rFonts w:hint="eastAsia"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平均绩点按照</w:t>
      </w:r>
      <w:r>
        <w:rPr>
          <w:rFonts w:ascii="宋体" w:hAnsi="宋体" w:eastAsia="宋体" w:cs="Segoe UI"/>
          <w:sz w:val="24"/>
        </w:rPr>
        <w:t>2019年修订的</w:t>
      </w:r>
      <w:r>
        <w:rPr>
          <w:rFonts w:hint="eastAsia" w:ascii="宋体" w:hAnsi="宋体" w:eastAsia="宋体" w:cs="Segoe UI"/>
          <w:sz w:val="24"/>
        </w:rPr>
        <w:t>《</w:t>
      </w:r>
      <w:r>
        <w:rPr>
          <w:rFonts w:ascii="宋体" w:hAnsi="宋体" w:eastAsia="宋体" w:cs="Segoe UI"/>
          <w:sz w:val="24"/>
        </w:rPr>
        <w:t>华东师范大学研究生课程学习和成绩管理规定</w:t>
      </w:r>
      <w:r>
        <w:rPr>
          <w:rFonts w:hint="eastAsia" w:ascii="宋体" w:hAnsi="宋体" w:eastAsia="宋体" w:cs="Segoe UI"/>
          <w:sz w:val="24"/>
        </w:rPr>
        <w:t>》</w:t>
      </w:r>
      <w:r>
        <w:rPr>
          <w:rFonts w:hint="eastAsia" w:ascii="宋体" w:hAnsi="宋体" w:eastAsia="宋体"/>
          <w:sz w:val="24"/>
        </w:rPr>
        <w:t>的方式计算（</w:t>
      </w:r>
      <w:r>
        <w:rPr>
          <w:rFonts w:ascii="宋体" w:hAnsi="宋体" w:eastAsia="宋体"/>
          <w:sz w:val="24"/>
        </w:rPr>
        <w:t>n为满足1</w:t>
      </w:r>
      <w:r>
        <w:rPr>
          <w:rFonts w:hint="eastAsia" w:ascii="宋体" w:hAnsi="宋体" w:eastAsia="宋体"/>
          <w:sz w:val="24"/>
        </w:rPr>
        <w:t>要求的课程总数）：</w:t>
      </w:r>
    </w:p>
    <w:p w14:paraId="2201634F">
      <w:pPr>
        <w:pStyle w:val="9"/>
        <w:spacing w:line="360" w:lineRule="auto"/>
        <w:ind w:left="420" w:firstLine="854" w:firstLineChars="356"/>
        <w:rPr>
          <w:rFonts w:hint="eastAsia" w:ascii="宋体" w:hAnsi="宋体" w:eastAsia="宋体"/>
          <w:b/>
          <w:sz w:val="24"/>
        </w:rPr>
      </w:pPr>
      <w:r>
        <w:rPr>
          <w:rFonts w:hint="eastAsia" w:ascii="宋体" w:hAnsi="宋体" w:eastAsia="宋体"/>
          <w:sz w:val="24"/>
        </w:rPr>
        <w:t>平均绩点</w:t>
      </w:r>
      <w:r>
        <w:rPr>
          <w:rFonts w:ascii="宋体" w:hAnsi="宋体" w:eastAsia="宋体"/>
          <w:sz w:val="24"/>
        </w:rPr>
        <w:t>=</w:t>
      </w:r>
      <m:oMath>
        <m:f>
          <m:fPr>
            <m:ctrlPr>
              <w:rPr>
                <w:rFonts w:ascii="Cambria Math" w:hAnsi="Cambria Math" w:eastAsia="宋体"/>
                <w:b/>
                <w:sz w:val="24"/>
              </w:rPr>
            </m:ctrlPr>
          </m:fPr>
          <m:num>
            <m:r>
              <m:rPr>
                <m:sty m:val="b"/>
              </m:rPr>
              <w:rPr>
                <w:rFonts w:hint="eastAsia" w:ascii="Cambria Math" w:hAnsi="Cambria Math" w:eastAsia="宋体"/>
                <w:sz w:val="24"/>
              </w:rPr>
              <m:t>课程</m:t>
            </m:r>
            <m:r>
              <m:rPr>
                <m:sty m:val="b"/>
              </m:rPr>
              <w:rPr>
                <w:rFonts w:ascii="Cambria Math" w:hAnsi="Cambria Math" w:eastAsia="宋体"/>
                <w:sz w:val="24"/>
              </w:rPr>
              <m:t>1</m:t>
            </m:r>
            <m:r>
              <m:rPr>
                <m:sty m:val="b"/>
              </m:rPr>
              <w:rPr>
                <w:rFonts w:hint="eastAsia" w:ascii="Cambria Math" w:hAnsi="Cambria Math" w:eastAsia="宋体"/>
                <w:sz w:val="24"/>
              </w:rPr>
              <m:t>绩点</m:t>
            </m:r>
            <m:r>
              <m:rPr>
                <m:sty m:val="b"/>
              </m:rPr>
              <w:rPr>
                <w:rFonts w:ascii="Cambria Math" w:hAnsi="Cambria Math" w:eastAsia="宋体"/>
                <w:sz w:val="24"/>
              </w:rPr>
              <m:t>×</m:t>
            </m:r>
            <m:r>
              <m:rPr>
                <m:sty m:val="b"/>
              </m:rPr>
              <w:rPr>
                <w:rFonts w:hint="eastAsia" w:ascii="Cambria Math" w:hAnsi="Cambria Math" w:eastAsia="宋体"/>
                <w:sz w:val="24"/>
              </w:rPr>
              <m:t>课程</m:t>
            </m:r>
            <m:r>
              <m:rPr>
                <m:sty m:val="b"/>
              </m:rPr>
              <w:rPr>
                <w:rFonts w:ascii="Cambria Math" w:hAnsi="Cambria Math" w:eastAsia="宋体"/>
                <w:sz w:val="24"/>
              </w:rPr>
              <m:t>1</m:t>
            </m:r>
            <m:r>
              <m:rPr>
                <m:sty m:val="b"/>
              </m:rPr>
              <w:rPr>
                <w:rFonts w:hint="eastAsia" w:ascii="Cambria Math" w:hAnsi="Cambria Math" w:eastAsia="宋体"/>
                <w:sz w:val="24"/>
              </w:rPr>
              <m:t>学分</m:t>
            </m:r>
            <m:r>
              <m:rPr>
                <m:sty m:val="b"/>
              </m:rPr>
              <w:rPr>
                <w:rFonts w:ascii="Cambria Math" w:hAnsi="Cambria Math" w:eastAsia="宋体"/>
                <w:sz w:val="24"/>
              </w:rPr>
              <m:t>+</m:t>
            </m:r>
            <m:r>
              <m:rPr>
                <m:sty m:val="b"/>
              </m:rPr>
              <w:rPr>
                <w:rFonts w:hint="eastAsia" w:ascii="Cambria Math" w:hAnsi="Cambria Math" w:eastAsia="宋体"/>
                <w:sz w:val="24"/>
              </w:rPr>
              <m:t>······</m:t>
            </m:r>
            <m:r>
              <m:rPr>
                <m:sty m:val="b"/>
              </m:rPr>
              <w:rPr>
                <w:rFonts w:ascii="Cambria Math" w:hAnsi="Cambria Math" w:eastAsia="宋体"/>
                <w:sz w:val="24"/>
              </w:rPr>
              <m:t>+</m:t>
            </m:r>
            <m:r>
              <m:rPr>
                <m:sty m:val="b"/>
              </m:rPr>
              <w:rPr>
                <w:rFonts w:hint="eastAsia" w:ascii="Cambria Math" w:hAnsi="Cambria Math" w:eastAsia="宋体"/>
                <w:sz w:val="24"/>
              </w:rPr>
              <m:t>课程</m:t>
            </m:r>
            <m:r>
              <m:rPr>
                <m:sty m:val="b"/>
              </m:rPr>
              <w:rPr>
                <w:rFonts w:ascii="Cambria Math" w:hAnsi="Cambria Math" w:eastAsia="宋体"/>
                <w:sz w:val="24"/>
              </w:rPr>
              <m:t>n</m:t>
            </m:r>
            <m:r>
              <m:rPr>
                <m:sty m:val="b"/>
              </m:rPr>
              <w:rPr>
                <w:rFonts w:hint="eastAsia" w:ascii="Cambria Math" w:hAnsi="Cambria Math" w:eastAsia="宋体"/>
                <w:sz w:val="24"/>
              </w:rPr>
              <m:t>绩点</m:t>
            </m:r>
            <m:r>
              <m:rPr>
                <m:sty m:val="b"/>
              </m:rPr>
              <w:rPr>
                <w:rFonts w:ascii="Cambria Math" w:hAnsi="Cambria Math" w:eastAsia="宋体"/>
                <w:sz w:val="24"/>
              </w:rPr>
              <m:t>×</m:t>
            </m:r>
            <m:r>
              <m:rPr>
                <m:sty m:val="b"/>
              </m:rPr>
              <w:rPr>
                <w:rFonts w:hint="eastAsia" w:ascii="Cambria Math" w:hAnsi="Cambria Math" w:eastAsia="宋体"/>
                <w:sz w:val="24"/>
              </w:rPr>
              <m:t>课程</m:t>
            </m:r>
            <m:r>
              <m:rPr>
                <m:sty m:val="b"/>
              </m:rPr>
              <w:rPr>
                <w:rFonts w:ascii="Cambria Math" w:hAnsi="Cambria Math" w:eastAsia="宋体"/>
                <w:sz w:val="24"/>
              </w:rPr>
              <m:t>n</m:t>
            </m:r>
            <m:r>
              <m:rPr>
                <m:sty m:val="b"/>
              </m:rPr>
              <w:rPr>
                <w:rFonts w:hint="eastAsia" w:ascii="Cambria Math" w:hAnsi="Cambria Math" w:eastAsia="宋体"/>
                <w:sz w:val="24"/>
              </w:rPr>
              <m:t>学分</m:t>
            </m:r>
            <m:ctrlPr>
              <w:rPr>
                <w:rFonts w:ascii="Cambria Math" w:hAnsi="Cambria Math" w:eastAsia="宋体"/>
                <w:b/>
                <w:sz w:val="24"/>
              </w:rPr>
            </m:ctrlPr>
          </m:num>
          <m:den>
            <m:r>
              <m:rPr>
                <m:sty m:val="b"/>
              </m:rPr>
              <w:rPr>
                <w:rFonts w:hint="eastAsia" w:ascii="Cambria Math" w:hAnsi="Cambria Math" w:eastAsia="宋体"/>
                <w:sz w:val="24"/>
              </w:rPr>
              <m:t>课程</m:t>
            </m:r>
            <m:r>
              <m:rPr>
                <m:sty m:val="b"/>
              </m:rPr>
              <w:rPr>
                <w:rFonts w:ascii="Cambria Math" w:hAnsi="Cambria Math" w:eastAsia="宋体"/>
                <w:sz w:val="24"/>
              </w:rPr>
              <m:t>1</m:t>
            </m:r>
            <m:r>
              <m:rPr>
                <m:sty m:val="b"/>
              </m:rPr>
              <w:rPr>
                <w:rFonts w:hint="eastAsia" w:ascii="Cambria Math" w:hAnsi="Cambria Math" w:eastAsia="宋体"/>
                <w:sz w:val="24"/>
              </w:rPr>
              <m:t>学分</m:t>
            </m:r>
            <m:r>
              <m:rPr>
                <m:sty m:val="b"/>
              </m:rPr>
              <w:rPr>
                <w:rFonts w:ascii="Cambria Math" w:hAnsi="Cambria Math" w:eastAsia="宋体"/>
                <w:sz w:val="24"/>
              </w:rPr>
              <m:t>+</m:t>
            </m:r>
            <m:r>
              <m:rPr>
                <m:sty m:val="b"/>
              </m:rPr>
              <w:rPr>
                <w:rFonts w:hint="eastAsia" w:ascii="Cambria Math" w:hAnsi="Cambria Math" w:eastAsia="宋体"/>
                <w:sz w:val="24"/>
              </w:rPr>
              <m:t>······</m:t>
            </m:r>
            <m:r>
              <m:rPr>
                <m:sty m:val="b"/>
              </m:rPr>
              <w:rPr>
                <w:rFonts w:ascii="Cambria Math" w:hAnsi="Cambria Math" w:eastAsia="宋体"/>
                <w:sz w:val="24"/>
              </w:rPr>
              <m:t>+</m:t>
            </m:r>
            <m:r>
              <m:rPr>
                <m:sty m:val="b"/>
              </m:rPr>
              <w:rPr>
                <w:rFonts w:hint="eastAsia" w:ascii="Cambria Math" w:hAnsi="Cambria Math" w:eastAsia="宋体"/>
                <w:sz w:val="24"/>
              </w:rPr>
              <m:t>课程</m:t>
            </m:r>
            <m:r>
              <m:rPr>
                <m:sty m:val="b"/>
              </m:rPr>
              <w:rPr>
                <w:rFonts w:ascii="Cambria Math" w:hAnsi="Cambria Math" w:eastAsia="宋体"/>
                <w:sz w:val="24"/>
              </w:rPr>
              <m:t>n</m:t>
            </m:r>
            <m:r>
              <m:rPr>
                <m:sty m:val="b"/>
              </m:rPr>
              <w:rPr>
                <w:rFonts w:hint="eastAsia" w:ascii="Cambria Math" w:hAnsi="Cambria Math" w:eastAsia="宋体"/>
                <w:sz w:val="24"/>
              </w:rPr>
              <m:t>学分</m:t>
            </m:r>
            <m:ctrlPr>
              <w:rPr>
                <w:rFonts w:ascii="Cambria Math" w:hAnsi="Cambria Math" w:eastAsia="宋体"/>
                <w:b/>
                <w:sz w:val="24"/>
              </w:rPr>
            </m:ctrlPr>
          </m:den>
        </m:f>
      </m:oMath>
    </w:p>
    <w:p w14:paraId="249207A7">
      <w:pPr>
        <w:spacing w:line="360" w:lineRule="auto"/>
        <w:ind w:firstLine="480"/>
        <w:rPr>
          <w:rFonts w:hint="eastAsia" w:ascii="宋体" w:hAnsi="宋体" w:eastAsia="宋体"/>
          <w:sz w:val="24"/>
        </w:rPr>
      </w:pPr>
      <w:r>
        <w:rPr>
          <w:rFonts w:hint="eastAsia" w:ascii="宋体" w:hAnsi="宋体" w:eastAsia="宋体"/>
          <w:sz w:val="24"/>
        </w:rPr>
        <w:t>3.课程成绩的得分将依据平均绩点占总绩点（4分）的比值乘以总分10分计算。</w:t>
      </w:r>
    </w:p>
    <w:p w14:paraId="5DAC03F3">
      <w:pPr>
        <w:spacing w:line="360" w:lineRule="auto"/>
        <w:rPr>
          <w:rFonts w:hint="eastAsia" w:ascii="宋体" w:hAnsi="宋体" w:eastAsia="宋体" w:cs="Segoe UI"/>
          <w:b/>
          <w:sz w:val="24"/>
        </w:rPr>
      </w:pPr>
    </w:p>
    <w:p w14:paraId="7CB1918C">
      <w:pPr>
        <w:spacing w:line="360" w:lineRule="auto"/>
        <w:rPr>
          <w:rFonts w:hint="eastAsia" w:ascii="宋体" w:hAnsi="宋体" w:eastAsia="宋体" w:cs="Segoe UI"/>
          <w:b/>
          <w:sz w:val="24"/>
        </w:rPr>
      </w:pPr>
      <w:r>
        <w:rPr>
          <w:rFonts w:hint="eastAsia" w:ascii="宋体" w:hAnsi="宋体" w:eastAsia="宋体" w:cs="Segoe UI"/>
          <w:b/>
          <w:sz w:val="24"/>
        </w:rPr>
        <w:t>二、社会活动（博士10分、硕士15分</w:t>
      </w:r>
      <w:r>
        <w:rPr>
          <w:rFonts w:ascii="宋体" w:hAnsi="宋体" w:eastAsia="宋体" w:cs="Segoe UI"/>
          <w:b/>
          <w:sz w:val="24"/>
        </w:rPr>
        <w:t>）</w:t>
      </w:r>
    </w:p>
    <w:p w14:paraId="63E5A9D1">
      <w:pPr>
        <w:spacing w:line="360" w:lineRule="auto"/>
        <w:ind w:firstLine="482" w:firstLineChars="200"/>
        <w:jc w:val="left"/>
        <w:rPr>
          <w:rFonts w:hint="eastAsia" w:ascii="宋体" w:hAnsi="宋体" w:eastAsia="宋体"/>
          <w:b/>
          <w:sz w:val="24"/>
        </w:rPr>
      </w:pPr>
      <w:r>
        <w:rPr>
          <w:rFonts w:ascii="宋体" w:hAnsi="宋体" w:eastAsia="宋体"/>
          <w:b/>
          <w:sz w:val="24"/>
        </w:rPr>
        <w:t>1.学生工作（需提供</w:t>
      </w:r>
      <w:r>
        <w:rPr>
          <w:rFonts w:hint="eastAsia" w:ascii="宋体" w:hAnsi="宋体" w:eastAsia="宋体"/>
          <w:b/>
          <w:sz w:val="24"/>
        </w:rPr>
        <w:t>佐证材料，如聘书、指导</w:t>
      </w:r>
      <w:r>
        <w:rPr>
          <w:rFonts w:ascii="宋体" w:hAnsi="宋体" w:eastAsia="宋体"/>
          <w:b/>
          <w:sz w:val="24"/>
        </w:rPr>
        <w:t>教师确认</w:t>
      </w:r>
      <w:r>
        <w:rPr>
          <w:rFonts w:hint="eastAsia" w:ascii="宋体" w:hAnsi="宋体" w:eastAsia="宋体"/>
          <w:b/>
          <w:sz w:val="24"/>
        </w:rPr>
        <w:t>函等</w:t>
      </w:r>
      <w:r>
        <w:rPr>
          <w:rFonts w:ascii="宋体" w:hAnsi="宋体" w:eastAsia="宋体"/>
          <w:b/>
          <w:sz w:val="24"/>
        </w:rPr>
        <w:t>）</w:t>
      </w:r>
    </w:p>
    <w:p w14:paraId="55930978">
      <w:pPr>
        <w:spacing w:line="360" w:lineRule="auto"/>
        <w:ind w:firstLine="480" w:firstLineChars="200"/>
        <w:jc w:val="left"/>
        <w:rPr>
          <w:rFonts w:hint="eastAsia" w:ascii="宋体" w:hAnsi="宋体" w:eastAsia="宋体"/>
          <w:sz w:val="24"/>
        </w:rPr>
      </w:pPr>
      <w:r>
        <w:rPr>
          <w:rFonts w:ascii="宋体" w:hAnsi="宋体" w:eastAsia="宋体"/>
          <w:sz w:val="24"/>
        </w:rPr>
        <w:t>校、院级研会</w:t>
      </w:r>
      <w:r>
        <w:rPr>
          <w:rFonts w:hint="eastAsia" w:ascii="宋体" w:hAnsi="宋体" w:eastAsia="宋体"/>
          <w:sz w:val="24"/>
        </w:rPr>
        <w:t>执行</w:t>
      </w:r>
      <w:r>
        <w:rPr>
          <w:rFonts w:ascii="宋体" w:hAnsi="宋体" w:eastAsia="宋体"/>
          <w:sz w:val="24"/>
        </w:rPr>
        <w:t>主席——————————————————</w:t>
      </w:r>
      <w:r>
        <w:rPr>
          <w:rFonts w:hint="eastAsia" w:ascii="宋体" w:hAnsi="宋体" w:eastAsia="宋体"/>
          <w:sz w:val="24"/>
        </w:rPr>
        <w:t xml:space="preserve">  8-10</w:t>
      </w:r>
      <w:r>
        <w:rPr>
          <w:rFonts w:ascii="宋体" w:hAnsi="宋体" w:eastAsia="宋体"/>
          <w:sz w:val="24"/>
        </w:rPr>
        <w:t xml:space="preserve">分 </w:t>
      </w:r>
    </w:p>
    <w:p w14:paraId="319D6D4B">
      <w:pPr>
        <w:spacing w:line="360" w:lineRule="auto"/>
        <w:ind w:firstLine="480" w:firstLineChars="200"/>
        <w:jc w:val="left"/>
        <w:rPr>
          <w:rFonts w:hint="eastAsia" w:ascii="宋体" w:hAnsi="宋体" w:eastAsia="宋体"/>
          <w:sz w:val="24"/>
        </w:rPr>
      </w:pPr>
      <w:r>
        <w:rPr>
          <w:rFonts w:ascii="宋体" w:hAnsi="宋体" w:eastAsia="宋体"/>
          <w:sz w:val="24"/>
        </w:rPr>
        <w:t>党支部书记</w:t>
      </w:r>
      <w:r>
        <w:rPr>
          <w:rFonts w:hint="eastAsia" w:ascii="宋体" w:hAnsi="宋体" w:eastAsia="宋体"/>
          <w:sz w:val="24"/>
        </w:rPr>
        <w:t>、校</w:t>
      </w:r>
      <w:r>
        <w:rPr>
          <w:rFonts w:ascii="宋体" w:hAnsi="宋体" w:eastAsia="宋体"/>
          <w:sz w:val="24"/>
        </w:rPr>
        <w:t>院级研会主席</w:t>
      </w:r>
      <w:r>
        <w:rPr>
          <w:rFonts w:hint="eastAsia" w:ascii="宋体" w:hAnsi="宋体" w:eastAsia="宋体"/>
          <w:sz w:val="24"/>
        </w:rPr>
        <w:t>团成员、院团委</w:t>
      </w:r>
      <w:r>
        <w:rPr>
          <w:rFonts w:ascii="宋体" w:hAnsi="宋体" w:eastAsia="宋体"/>
          <w:sz w:val="24"/>
        </w:rPr>
        <w:t>副书记</w:t>
      </w:r>
      <w:r>
        <w:rPr>
          <w:rFonts w:hint="eastAsia" w:ascii="宋体" w:hAnsi="宋体" w:eastAsia="宋体"/>
          <w:sz w:val="24"/>
        </w:rPr>
        <w:t>/办公室主任、</w:t>
      </w:r>
      <w:r>
        <w:rPr>
          <w:rFonts w:ascii="宋体" w:hAnsi="宋体" w:eastAsia="宋体"/>
          <w:sz w:val="24"/>
        </w:rPr>
        <w:t>社团社</w:t>
      </w:r>
      <w:r>
        <w:rPr>
          <w:rFonts w:hint="eastAsia" w:ascii="宋体" w:hAnsi="宋体" w:eastAsia="宋体"/>
          <w:sz w:val="24"/>
        </w:rPr>
        <w:t>　　</w:t>
      </w:r>
      <w:r>
        <w:rPr>
          <w:rFonts w:ascii="宋体" w:hAnsi="宋体" w:eastAsia="宋体"/>
          <w:sz w:val="24"/>
        </w:rPr>
        <w:t>长—————————————————————————————</w:t>
      </w:r>
      <w:r>
        <w:rPr>
          <w:rFonts w:hint="eastAsia" w:ascii="宋体" w:hAnsi="宋体" w:eastAsia="宋体"/>
          <w:sz w:val="24"/>
        </w:rPr>
        <w:t xml:space="preserve">  6-8</w:t>
      </w:r>
      <w:r>
        <w:rPr>
          <w:rFonts w:ascii="宋体" w:hAnsi="宋体" w:eastAsia="宋体"/>
          <w:sz w:val="24"/>
        </w:rPr>
        <w:t xml:space="preserve">分 </w:t>
      </w:r>
    </w:p>
    <w:p w14:paraId="0CA380B2">
      <w:pPr>
        <w:spacing w:line="360" w:lineRule="auto"/>
        <w:ind w:firstLine="480" w:firstLineChars="200"/>
        <w:jc w:val="left"/>
        <w:rPr>
          <w:rFonts w:hint="eastAsia" w:ascii="宋体" w:hAnsi="宋体" w:eastAsia="宋体"/>
          <w:sz w:val="24"/>
        </w:rPr>
      </w:pPr>
      <w:r>
        <w:rPr>
          <w:rFonts w:ascii="宋体" w:hAnsi="宋体" w:eastAsia="宋体"/>
          <w:sz w:val="24"/>
        </w:rPr>
        <w:t>班长</w:t>
      </w:r>
      <w:r>
        <w:rPr>
          <w:rFonts w:hint="eastAsia" w:ascii="宋体" w:hAnsi="宋体" w:eastAsia="宋体"/>
          <w:sz w:val="24"/>
        </w:rPr>
        <w:t>、</w:t>
      </w:r>
      <w:r>
        <w:rPr>
          <w:rFonts w:ascii="宋体" w:hAnsi="宋体" w:eastAsia="宋体"/>
          <w:sz w:val="24"/>
        </w:rPr>
        <w:t>团支部书记</w:t>
      </w:r>
      <w:r>
        <w:rPr>
          <w:rFonts w:hint="eastAsia" w:ascii="宋体" w:hAnsi="宋体" w:eastAsia="宋体"/>
          <w:sz w:val="24"/>
        </w:rPr>
        <w:t>、</w:t>
      </w:r>
      <w:r>
        <w:rPr>
          <w:rFonts w:ascii="宋体" w:hAnsi="宋体" w:eastAsia="宋体"/>
          <w:sz w:val="24"/>
        </w:rPr>
        <w:t>“啄木鸟”安全小卫士负责人</w:t>
      </w:r>
      <w:r>
        <w:rPr>
          <w:rFonts w:hint="eastAsia" w:ascii="宋体" w:hAnsi="宋体" w:eastAsia="宋体"/>
          <w:sz w:val="24"/>
        </w:rPr>
        <w:t xml:space="preserve"> </w:t>
      </w:r>
      <w:r>
        <w:rPr>
          <w:rFonts w:ascii="宋体" w:hAnsi="宋体" w:eastAsia="宋体"/>
          <w:sz w:val="24"/>
        </w:rPr>
        <w:t>——————</w:t>
      </w:r>
      <w:r>
        <w:rPr>
          <w:rFonts w:hint="eastAsia" w:ascii="宋体" w:hAnsi="宋体" w:eastAsia="宋体"/>
          <w:sz w:val="24"/>
        </w:rPr>
        <w:t xml:space="preserve"> 4-6</w:t>
      </w:r>
      <w:r>
        <w:rPr>
          <w:rFonts w:ascii="宋体" w:hAnsi="宋体" w:eastAsia="宋体"/>
          <w:sz w:val="24"/>
        </w:rPr>
        <w:t xml:space="preserve">分 </w:t>
      </w:r>
    </w:p>
    <w:p w14:paraId="54441108">
      <w:pPr>
        <w:spacing w:line="360" w:lineRule="auto"/>
        <w:ind w:firstLine="480" w:firstLineChars="200"/>
        <w:jc w:val="left"/>
        <w:rPr>
          <w:rFonts w:hint="eastAsia" w:ascii="宋体" w:hAnsi="宋体" w:eastAsia="宋体"/>
          <w:sz w:val="24"/>
        </w:rPr>
      </w:pPr>
      <w:r>
        <w:rPr>
          <w:rFonts w:ascii="宋体" w:hAnsi="宋体" w:eastAsia="宋体"/>
          <w:sz w:val="24"/>
        </w:rPr>
        <w:t>校院级研会部长</w:t>
      </w:r>
      <w:r>
        <w:rPr>
          <w:rFonts w:hint="eastAsia" w:ascii="宋体" w:hAnsi="宋体" w:eastAsia="宋体"/>
          <w:sz w:val="24"/>
        </w:rPr>
        <w:t>、</w:t>
      </w:r>
      <w:r>
        <w:rPr>
          <w:rFonts w:ascii="宋体" w:hAnsi="宋体" w:eastAsia="宋体"/>
          <w:sz w:val="24"/>
        </w:rPr>
        <w:t>党支部副书记</w:t>
      </w:r>
      <w:r>
        <w:rPr>
          <w:rFonts w:hint="eastAsia" w:ascii="宋体" w:hAnsi="宋体" w:eastAsia="宋体"/>
          <w:sz w:val="24"/>
        </w:rPr>
        <w:t>、</w:t>
      </w:r>
      <w:r>
        <w:rPr>
          <w:rFonts w:ascii="宋体" w:hAnsi="宋体" w:eastAsia="宋体"/>
          <w:sz w:val="24"/>
        </w:rPr>
        <w:t>社团副社长—————————</w:t>
      </w:r>
      <w:r>
        <w:rPr>
          <w:rFonts w:hint="eastAsia" w:ascii="宋体" w:hAnsi="宋体" w:eastAsia="宋体"/>
          <w:sz w:val="24"/>
        </w:rPr>
        <w:t>3-5</w:t>
      </w:r>
      <w:r>
        <w:rPr>
          <w:rFonts w:ascii="宋体" w:hAnsi="宋体" w:eastAsia="宋体"/>
          <w:sz w:val="24"/>
        </w:rPr>
        <w:t xml:space="preserve">分 </w:t>
      </w:r>
    </w:p>
    <w:p w14:paraId="162549DA">
      <w:pPr>
        <w:spacing w:line="360" w:lineRule="auto"/>
        <w:ind w:firstLine="480" w:firstLineChars="200"/>
        <w:jc w:val="left"/>
        <w:rPr>
          <w:rFonts w:hint="eastAsia" w:ascii="宋体" w:hAnsi="宋体" w:eastAsia="宋体"/>
          <w:sz w:val="24"/>
        </w:rPr>
      </w:pPr>
      <w:r>
        <w:rPr>
          <w:rFonts w:ascii="宋体" w:hAnsi="宋体" w:eastAsia="宋体"/>
          <w:sz w:val="24"/>
        </w:rPr>
        <w:t>班委</w:t>
      </w:r>
      <w:r>
        <w:rPr>
          <w:rFonts w:hint="eastAsia" w:ascii="宋体" w:hAnsi="宋体" w:eastAsia="宋体"/>
          <w:sz w:val="24"/>
        </w:rPr>
        <w:t>、</w:t>
      </w:r>
      <w:r>
        <w:rPr>
          <w:rFonts w:ascii="宋体" w:hAnsi="宋体" w:eastAsia="宋体"/>
          <w:sz w:val="24"/>
        </w:rPr>
        <w:t>党</w:t>
      </w:r>
      <w:r>
        <w:rPr>
          <w:rFonts w:hint="eastAsia" w:ascii="宋体" w:hAnsi="宋体" w:eastAsia="宋体"/>
          <w:sz w:val="24"/>
        </w:rPr>
        <w:t>团</w:t>
      </w:r>
      <w:r>
        <w:rPr>
          <w:rFonts w:ascii="宋体" w:hAnsi="宋体" w:eastAsia="宋体"/>
          <w:sz w:val="24"/>
        </w:rPr>
        <w:t>支部委员</w:t>
      </w:r>
      <w:r>
        <w:rPr>
          <w:rFonts w:hint="eastAsia" w:ascii="宋体" w:hAnsi="宋体" w:eastAsia="宋体"/>
          <w:sz w:val="24"/>
        </w:rPr>
        <w:t>、</w:t>
      </w:r>
      <w:r>
        <w:rPr>
          <w:rFonts w:ascii="宋体" w:hAnsi="宋体" w:eastAsia="宋体"/>
          <w:sz w:val="24"/>
        </w:rPr>
        <w:t>社团部长———————————————</w:t>
      </w:r>
      <w:r>
        <w:rPr>
          <w:rFonts w:hint="eastAsia" w:ascii="宋体" w:hAnsi="宋体" w:eastAsia="宋体"/>
          <w:sz w:val="24"/>
        </w:rPr>
        <w:t>2-4</w:t>
      </w:r>
      <w:r>
        <w:rPr>
          <w:rFonts w:ascii="宋体" w:hAnsi="宋体" w:eastAsia="宋体"/>
          <w:sz w:val="24"/>
        </w:rPr>
        <w:t xml:space="preserve">分 </w:t>
      </w:r>
    </w:p>
    <w:p w14:paraId="559BC31B">
      <w:pPr>
        <w:spacing w:line="360" w:lineRule="auto"/>
        <w:ind w:firstLine="480" w:firstLineChars="200"/>
        <w:jc w:val="left"/>
        <w:rPr>
          <w:rFonts w:hint="eastAsia" w:ascii="宋体" w:hAnsi="宋体" w:eastAsia="宋体"/>
          <w:sz w:val="24"/>
        </w:rPr>
      </w:pPr>
      <w:r>
        <w:rPr>
          <w:rFonts w:ascii="宋体" w:hAnsi="宋体" w:eastAsia="宋体"/>
          <w:sz w:val="24"/>
        </w:rPr>
        <w:t>研究生会优秀干事</w:t>
      </w:r>
      <w:r>
        <w:rPr>
          <w:rFonts w:hint="eastAsia" w:ascii="宋体" w:hAnsi="宋体" w:eastAsia="宋体"/>
          <w:sz w:val="24"/>
        </w:rPr>
        <w:t>、</w:t>
      </w:r>
      <w:r>
        <w:rPr>
          <w:rFonts w:ascii="宋体" w:hAnsi="宋体" w:eastAsia="宋体"/>
          <w:sz w:val="24"/>
        </w:rPr>
        <w:t>社团优秀社员——————————————</w:t>
      </w:r>
      <w:r>
        <w:rPr>
          <w:rFonts w:hint="eastAsia" w:ascii="宋体" w:hAnsi="宋体" w:eastAsia="宋体"/>
          <w:sz w:val="24"/>
        </w:rPr>
        <w:t>2-3</w:t>
      </w:r>
      <w:r>
        <w:rPr>
          <w:rFonts w:ascii="宋体" w:hAnsi="宋体" w:eastAsia="宋体"/>
          <w:sz w:val="24"/>
        </w:rPr>
        <w:t xml:space="preserve">分 </w:t>
      </w:r>
    </w:p>
    <w:p w14:paraId="5A2668EF">
      <w:pPr>
        <w:spacing w:line="360" w:lineRule="auto"/>
        <w:ind w:firstLine="480" w:firstLineChars="200"/>
        <w:rPr>
          <w:rFonts w:hint="eastAsia" w:ascii="宋体" w:hAnsi="宋体" w:eastAsia="宋体"/>
          <w:sz w:val="24"/>
        </w:rPr>
      </w:pPr>
    </w:p>
    <w:p w14:paraId="461287A0">
      <w:pPr>
        <w:spacing w:line="360" w:lineRule="auto"/>
        <w:ind w:firstLine="482" w:firstLineChars="200"/>
        <w:rPr>
          <w:rFonts w:hint="eastAsia" w:ascii="宋体" w:hAnsi="宋体" w:eastAsia="宋体"/>
          <w:b/>
          <w:sz w:val="24"/>
        </w:rPr>
      </w:pPr>
      <w:r>
        <w:rPr>
          <w:rFonts w:hint="eastAsia" w:ascii="宋体" w:hAnsi="宋体" w:eastAsia="宋体"/>
          <w:b/>
          <w:sz w:val="24"/>
        </w:rPr>
        <w:t>2</w:t>
      </w:r>
      <w:r>
        <w:rPr>
          <w:rFonts w:ascii="宋体" w:hAnsi="宋体" w:eastAsia="宋体"/>
          <w:b/>
          <w:sz w:val="24"/>
        </w:rPr>
        <w:t>.</w:t>
      </w:r>
      <w:r>
        <w:rPr>
          <w:rFonts w:hint="eastAsia" w:ascii="宋体" w:hAnsi="宋体" w:eastAsia="宋体"/>
          <w:b/>
          <w:sz w:val="24"/>
        </w:rPr>
        <w:t>志愿</w:t>
      </w:r>
      <w:r>
        <w:rPr>
          <w:rFonts w:ascii="宋体" w:hAnsi="宋体" w:eastAsia="宋体"/>
          <w:b/>
          <w:sz w:val="24"/>
        </w:rPr>
        <w:t xml:space="preserve">服务 </w:t>
      </w:r>
    </w:p>
    <w:p w14:paraId="378434B0">
      <w:pPr>
        <w:spacing w:line="360" w:lineRule="auto"/>
        <w:ind w:firstLine="480" w:firstLineChars="200"/>
        <w:jc w:val="left"/>
        <w:rPr>
          <w:rFonts w:hint="eastAsia" w:ascii="宋体" w:hAnsi="宋体" w:eastAsia="宋体"/>
          <w:sz w:val="24"/>
        </w:rPr>
      </w:pPr>
      <w:r>
        <w:rPr>
          <w:rFonts w:hint="eastAsia" w:ascii="宋体" w:hAnsi="宋体" w:eastAsia="宋体"/>
          <w:sz w:val="24"/>
        </w:rPr>
        <w:t>各类</w:t>
      </w:r>
      <w:r>
        <w:rPr>
          <w:rFonts w:ascii="宋体" w:hAnsi="宋体" w:eastAsia="宋体"/>
          <w:sz w:val="24"/>
        </w:rPr>
        <w:t>志愿服务时长</w:t>
      </w:r>
      <w:r>
        <w:rPr>
          <w:rFonts w:hint="eastAsia" w:ascii="宋体" w:hAnsi="宋体" w:eastAsia="宋体"/>
          <w:sz w:val="24"/>
        </w:rPr>
        <w:t>累计</w:t>
      </w:r>
      <w:r>
        <w:rPr>
          <w:rFonts w:ascii="宋体" w:hAnsi="宋体" w:eastAsia="宋体"/>
          <w:sz w:val="24"/>
        </w:rPr>
        <w:t>超过</w:t>
      </w:r>
      <w:r>
        <w:rPr>
          <w:rFonts w:hint="eastAsia" w:ascii="宋体" w:hAnsi="宋体" w:eastAsia="宋体"/>
          <w:sz w:val="24"/>
        </w:rPr>
        <w:t>96</w:t>
      </w:r>
      <w:r>
        <w:rPr>
          <w:rFonts w:ascii="宋体" w:hAnsi="宋体" w:eastAsia="宋体"/>
          <w:sz w:val="24"/>
        </w:rPr>
        <w:t>小时—————————————</w:t>
      </w:r>
      <w:r>
        <w:rPr>
          <w:rFonts w:hint="eastAsia" w:ascii="宋体" w:hAnsi="宋体" w:eastAsia="宋体"/>
          <w:sz w:val="24"/>
        </w:rPr>
        <w:t xml:space="preserve"> </w:t>
      </w:r>
      <w:r>
        <w:rPr>
          <w:rFonts w:ascii="宋体" w:hAnsi="宋体" w:eastAsia="宋体"/>
          <w:sz w:val="24"/>
        </w:rPr>
        <w:t>5 分</w:t>
      </w:r>
    </w:p>
    <w:p w14:paraId="7BDCFAE5">
      <w:pPr>
        <w:spacing w:line="360" w:lineRule="auto"/>
        <w:ind w:firstLine="480" w:firstLineChars="200"/>
        <w:jc w:val="left"/>
        <w:rPr>
          <w:rFonts w:hint="eastAsia" w:ascii="宋体" w:hAnsi="宋体" w:eastAsia="宋体"/>
          <w:sz w:val="24"/>
        </w:rPr>
      </w:pPr>
      <w:r>
        <w:rPr>
          <w:rFonts w:hint="eastAsia" w:ascii="宋体" w:hAnsi="宋体" w:eastAsia="宋体"/>
          <w:sz w:val="24"/>
        </w:rPr>
        <w:t>各类</w:t>
      </w:r>
      <w:r>
        <w:rPr>
          <w:rFonts w:ascii="宋体" w:hAnsi="宋体" w:eastAsia="宋体"/>
          <w:sz w:val="24"/>
        </w:rPr>
        <w:t>志愿服务时长</w:t>
      </w:r>
      <w:r>
        <w:rPr>
          <w:rFonts w:hint="eastAsia" w:ascii="宋体" w:hAnsi="宋体" w:eastAsia="宋体"/>
          <w:sz w:val="24"/>
        </w:rPr>
        <w:t>累计</w:t>
      </w:r>
      <w:r>
        <w:rPr>
          <w:rFonts w:ascii="宋体" w:hAnsi="宋体" w:eastAsia="宋体"/>
          <w:sz w:val="24"/>
        </w:rPr>
        <w:t>超过</w:t>
      </w:r>
      <w:r>
        <w:rPr>
          <w:rFonts w:hint="eastAsia" w:ascii="宋体" w:hAnsi="宋体" w:eastAsia="宋体"/>
          <w:sz w:val="24"/>
        </w:rPr>
        <w:t>64</w:t>
      </w:r>
      <w:r>
        <w:rPr>
          <w:rFonts w:ascii="宋体" w:hAnsi="宋体" w:eastAsia="宋体"/>
          <w:sz w:val="24"/>
        </w:rPr>
        <w:t>小时—————————————</w:t>
      </w:r>
      <w:r>
        <w:rPr>
          <w:rFonts w:hint="eastAsia" w:ascii="宋体" w:hAnsi="宋体" w:eastAsia="宋体"/>
          <w:sz w:val="24"/>
        </w:rPr>
        <w:t xml:space="preserve"> 4</w:t>
      </w:r>
      <w:r>
        <w:rPr>
          <w:rFonts w:ascii="宋体" w:hAnsi="宋体" w:eastAsia="宋体"/>
          <w:sz w:val="24"/>
        </w:rPr>
        <w:t xml:space="preserve"> 分</w:t>
      </w:r>
    </w:p>
    <w:p w14:paraId="5F512F5D">
      <w:pPr>
        <w:spacing w:line="360" w:lineRule="auto"/>
        <w:ind w:left="420" w:leftChars="200"/>
        <w:jc w:val="left"/>
        <w:rPr>
          <w:rFonts w:hint="eastAsia" w:ascii="宋体" w:hAnsi="宋体" w:eastAsia="宋体"/>
          <w:sz w:val="24"/>
        </w:rPr>
      </w:pPr>
      <w:r>
        <w:rPr>
          <w:rFonts w:hint="eastAsia" w:ascii="宋体" w:hAnsi="宋体" w:eastAsia="宋体"/>
          <w:sz w:val="24"/>
        </w:rPr>
        <w:t>各类</w:t>
      </w:r>
      <w:r>
        <w:rPr>
          <w:rFonts w:ascii="宋体" w:hAnsi="宋体" w:eastAsia="宋体"/>
          <w:sz w:val="24"/>
        </w:rPr>
        <w:t>志愿服务时长</w:t>
      </w:r>
      <w:r>
        <w:rPr>
          <w:rFonts w:hint="eastAsia" w:ascii="宋体" w:hAnsi="宋体" w:eastAsia="宋体"/>
          <w:sz w:val="24"/>
        </w:rPr>
        <w:t>累计</w:t>
      </w:r>
      <w:r>
        <w:rPr>
          <w:rFonts w:ascii="宋体" w:hAnsi="宋体" w:eastAsia="宋体"/>
          <w:sz w:val="24"/>
        </w:rPr>
        <w:t>超过32小时</w:t>
      </w:r>
      <w:r>
        <w:rPr>
          <w:rFonts w:hint="eastAsia" w:ascii="宋体" w:hAnsi="宋体" w:eastAsia="宋体"/>
          <w:sz w:val="24"/>
        </w:rPr>
        <w:t xml:space="preserve"> </w:t>
      </w:r>
      <w:r>
        <w:rPr>
          <w:rFonts w:ascii="宋体" w:hAnsi="宋体" w:eastAsia="宋体"/>
          <w:sz w:val="24"/>
        </w:rPr>
        <w:t>—————————————</w:t>
      </w:r>
      <w:r>
        <w:rPr>
          <w:rFonts w:hint="eastAsia" w:ascii="宋体" w:hAnsi="宋体" w:eastAsia="宋体"/>
          <w:sz w:val="24"/>
        </w:rPr>
        <w:t xml:space="preserve"> </w:t>
      </w:r>
      <w:r>
        <w:rPr>
          <w:rFonts w:ascii="宋体" w:hAnsi="宋体" w:eastAsia="宋体"/>
          <w:sz w:val="24"/>
        </w:rPr>
        <w:t>3 分</w:t>
      </w:r>
    </w:p>
    <w:p w14:paraId="19B29F25">
      <w:pPr>
        <w:spacing w:line="360" w:lineRule="auto"/>
        <w:ind w:left="420" w:leftChars="200"/>
        <w:jc w:val="left"/>
        <w:rPr>
          <w:rFonts w:hint="eastAsia" w:ascii="宋体" w:hAnsi="宋体" w:eastAsia="宋体"/>
          <w:sz w:val="24"/>
        </w:rPr>
      </w:pPr>
      <w:r>
        <w:rPr>
          <w:rFonts w:ascii="宋体" w:hAnsi="宋体" w:eastAsia="宋体"/>
          <w:sz w:val="24"/>
        </w:rPr>
        <w:t>志愿献血</w:t>
      </w:r>
      <w:r>
        <w:rPr>
          <w:rFonts w:hint="eastAsia" w:ascii="宋体" w:hAnsi="宋体" w:eastAsia="宋体"/>
          <w:sz w:val="24"/>
        </w:rPr>
        <w:t xml:space="preserve"> </w:t>
      </w:r>
      <w:r>
        <w:rPr>
          <w:rFonts w:ascii="宋体" w:hAnsi="宋体" w:eastAsia="宋体"/>
          <w:sz w:val="24"/>
        </w:rPr>
        <w:t>————————————————————————</w:t>
      </w:r>
      <w:r>
        <w:rPr>
          <w:rFonts w:hint="eastAsia" w:ascii="宋体" w:hAnsi="宋体" w:eastAsia="宋体"/>
          <w:sz w:val="24"/>
        </w:rPr>
        <w:t xml:space="preserve">  </w:t>
      </w:r>
      <w:r>
        <w:rPr>
          <w:rFonts w:ascii="宋体" w:hAnsi="宋体" w:eastAsia="宋体"/>
          <w:sz w:val="24"/>
        </w:rPr>
        <w:t xml:space="preserve">2 分 </w:t>
      </w:r>
    </w:p>
    <w:p w14:paraId="193E5BF1">
      <w:pPr>
        <w:spacing w:line="360" w:lineRule="auto"/>
        <w:ind w:left="420" w:leftChars="200"/>
        <w:jc w:val="left"/>
        <w:rPr>
          <w:rFonts w:hint="eastAsia" w:ascii="宋体" w:hAnsi="宋体" w:eastAsia="宋体"/>
          <w:sz w:val="24"/>
        </w:rPr>
      </w:pPr>
      <w:r>
        <w:rPr>
          <w:rFonts w:ascii="宋体" w:hAnsi="宋体" w:eastAsia="宋体"/>
          <w:sz w:val="24"/>
        </w:rPr>
        <w:t>一般志愿经历或实践挂职经历</w:t>
      </w:r>
      <w:r>
        <w:rPr>
          <w:rFonts w:hint="eastAsia" w:ascii="宋体" w:hAnsi="宋体" w:eastAsia="宋体"/>
          <w:sz w:val="24"/>
        </w:rPr>
        <w:t xml:space="preserve"> </w:t>
      </w:r>
      <w:r>
        <w:rPr>
          <w:rFonts w:ascii="宋体" w:hAnsi="宋体" w:eastAsia="宋体"/>
          <w:sz w:val="24"/>
        </w:rPr>
        <w:t>———————————————</w:t>
      </w:r>
      <w:r>
        <w:rPr>
          <w:rFonts w:hint="eastAsia" w:ascii="宋体" w:hAnsi="宋体" w:eastAsia="宋体"/>
          <w:sz w:val="24"/>
        </w:rPr>
        <w:t xml:space="preserve">  1</w:t>
      </w:r>
      <w:r>
        <w:rPr>
          <w:rFonts w:ascii="宋体" w:hAnsi="宋体" w:eastAsia="宋体"/>
          <w:sz w:val="24"/>
        </w:rPr>
        <w:t xml:space="preserve"> 分</w:t>
      </w:r>
    </w:p>
    <w:p w14:paraId="546D367E">
      <w:pPr>
        <w:spacing w:line="360" w:lineRule="auto"/>
        <w:ind w:firstLine="482" w:firstLineChars="200"/>
        <w:rPr>
          <w:rFonts w:hint="eastAsia" w:ascii="宋体" w:hAnsi="宋体" w:eastAsia="宋体"/>
          <w:b/>
          <w:sz w:val="24"/>
        </w:rPr>
      </w:pPr>
    </w:p>
    <w:p w14:paraId="31A4FCE4">
      <w:pPr>
        <w:spacing w:line="360" w:lineRule="auto"/>
        <w:ind w:firstLine="482" w:firstLineChars="200"/>
        <w:rPr>
          <w:rFonts w:hint="eastAsia" w:ascii="宋体" w:hAnsi="宋体" w:eastAsia="宋体"/>
          <w:b/>
          <w:sz w:val="24"/>
        </w:rPr>
      </w:pPr>
      <w:r>
        <w:rPr>
          <w:rFonts w:hint="eastAsia" w:ascii="宋体" w:hAnsi="宋体" w:eastAsia="宋体"/>
          <w:b/>
          <w:sz w:val="24"/>
        </w:rPr>
        <w:t>3</w:t>
      </w:r>
      <w:r>
        <w:rPr>
          <w:rFonts w:ascii="宋体" w:hAnsi="宋体" w:eastAsia="宋体"/>
          <w:b/>
          <w:sz w:val="24"/>
        </w:rPr>
        <w:t>.</w:t>
      </w:r>
      <w:r>
        <w:rPr>
          <w:rFonts w:hint="eastAsia" w:ascii="宋体" w:hAnsi="宋体" w:eastAsia="宋体"/>
          <w:b/>
          <w:sz w:val="24"/>
        </w:rPr>
        <w:t>突出表现</w:t>
      </w:r>
      <w:r>
        <w:rPr>
          <w:rFonts w:ascii="宋体" w:hAnsi="宋体" w:eastAsia="宋体"/>
          <w:b/>
          <w:sz w:val="24"/>
        </w:rPr>
        <w:t xml:space="preserve"> </w:t>
      </w:r>
    </w:p>
    <w:p w14:paraId="209579E1">
      <w:pPr>
        <w:spacing w:line="360" w:lineRule="auto"/>
        <w:ind w:firstLine="480" w:firstLineChars="200"/>
        <w:jc w:val="left"/>
        <w:rPr>
          <w:rFonts w:hint="eastAsia" w:ascii="宋体" w:hAnsi="宋体" w:eastAsia="宋体"/>
          <w:sz w:val="24"/>
        </w:rPr>
      </w:pPr>
      <w:r>
        <w:rPr>
          <w:rFonts w:ascii="宋体" w:hAnsi="宋体" w:eastAsia="宋体"/>
          <w:sz w:val="24"/>
        </w:rPr>
        <w:t>在校期间有参军入伍服兵役经历、国际组织实习经历（至少三个月）的优秀 学生———————————————————————————</w:t>
      </w:r>
      <w:r>
        <w:rPr>
          <w:rFonts w:hint="eastAsia" w:ascii="宋体" w:hAnsi="宋体" w:eastAsia="宋体"/>
          <w:sz w:val="24"/>
        </w:rPr>
        <w:t xml:space="preserve"> </w:t>
      </w:r>
      <w:r>
        <w:rPr>
          <w:rFonts w:hint="eastAsia" w:ascii="宋体" w:hAnsi="宋体" w:eastAsia="宋体"/>
          <w:sz w:val="24"/>
          <w:lang w:val="en-US" w:eastAsia="zh-CN"/>
        </w:rPr>
        <w:t xml:space="preserve">  </w:t>
      </w:r>
      <w:bookmarkStart w:id="1" w:name="_GoBack"/>
      <w:bookmarkEnd w:id="1"/>
      <w:r>
        <w:rPr>
          <w:rFonts w:ascii="宋体" w:hAnsi="宋体" w:eastAsia="宋体"/>
          <w:sz w:val="24"/>
        </w:rPr>
        <w:t xml:space="preserve">10分 </w:t>
      </w:r>
    </w:p>
    <w:p w14:paraId="042124E1">
      <w:pPr>
        <w:spacing w:line="360" w:lineRule="auto"/>
        <w:ind w:firstLine="480" w:firstLineChars="200"/>
        <w:jc w:val="left"/>
        <w:rPr>
          <w:rFonts w:hint="eastAsia" w:ascii="宋体" w:hAnsi="宋体" w:eastAsia="宋体"/>
          <w:sz w:val="24"/>
        </w:rPr>
      </w:pPr>
      <w:r>
        <w:rPr>
          <w:rFonts w:hint="eastAsia" w:ascii="宋体" w:hAnsi="宋体" w:eastAsia="宋体"/>
          <w:sz w:val="24"/>
        </w:rPr>
        <w:t>获全国</w:t>
      </w:r>
      <w:r>
        <w:rPr>
          <w:rFonts w:ascii="宋体" w:hAnsi="宋体" w:eastAsia="宋体"/>
          <w:sz w:val="24"/>
        </w:rPr>
        <w:t>大学生年度人物</w:t>
      </w:r>
      <w:r>
        <w:rPr>
          <w:rFonts w:hint="eastAsia" w:ascii="宋体" w:hAnsi="宋体" w:eastAsia="宋体"/>
          <w:sz w:val="24"/>
        </w:rPr>
        <w:t>、全国优秀共产党员、中国青年五四奖章等国家级荣誉奖励的集体负责人或个人 ————————————————</w:t>
      </w:r>
      <w:r>
        <w:rPr>
          <w:rFonts w:ascii="宋体" w:hAnsi="宋体" w:eastAsia="宋体"/>
          <w:sz w:val="24"/>
        </w:rPr>
        <w:t>—</w:t>
      </w:r>
      <w:r>
        <w:rPr>
          <w:rFonts w:hint="eastAsia" w:ascii="宋体" w:hAnsi="宋体" w:eastAsia="宋体"/>
          <w:sz w:val="24"/>
        </w:rPr>
        <w:t xml:space="preserve">  </w:t>
      </w:r>
      <w:r>
        <w:rPr>
          <w:rFonts w:hint="eastAsia" w:ascii="宋体" w:hAnsi="宋体" w:eastAsia="宋体"/>
          <w:sz w:val="24"/>
          <w:lang w:val="en-US" w:eastAsia="zh-CN"/>
        </w:rPr>
        <w:t xml:space="preserve"> </w:t>
      </w:r>
      <w:r>
        <w:rPr>
          <w:rFonts w:hint="eastAsia" w:ascii="宋体" w:hAnsi="宋体" w:eastAsia="宋体"/>
          <w:sz w:val="24"/>
        </w:rPr>
        <w:t>8分</w:t>
      </w:r>
    </w:p>
    <w:p w14:paraId="5DA0A447">
      <w:pPr>
        <w:spacing w:line="360" w:lineRule="auto"/>
        <w:ind w:firstLine="480" w:firstLineChars="200"/>
        <w:jc w:val="left"/>
        <w:rPr>
          <w:rFonts w:hint="eastAsia" w:ascii="宋体" w:hAnsi="宋体" w:eastAsia="宋体"/>
          <w:sz w:val="24"/>
        </w:rPr>
      </w:pPr>
      <w:r>
        <w:rPr>
          <w:rFonts w:ascii="宋体" w:hAnsi="宋体" w:eastAsia="宋体"/>
          <w:sz w:val="24"/>
        </w:rPr>
        <w:t>获</w:t>
      </w:r>
      <w:r>
        <w:rPr>
          <w:rFonts w:hint="eastAsia" w:ascii="宋体" w:hAnsi="宋体" w:eastAsia="宋体"/>
          <w:sz w:val="24"/>
        </w:rPr>
        <w:t>上海市</w:t>
      </w:r>
      <w:r>
        <w:rPr>
          <w:rFonts w:ascii="宋体" w:hAnsi="宋体" w:eastAsia="宋体"/>
          <w:sz w:val="24"/>
        </w:rPr>
        <w:t>大学生年度人物</w:t>
      </w:r>
      <w:r>
        <w:rPr>
          <w:rFonts w:hint="eastAsia" w:ascii="宋体" w:hAnsi="宋体" w:eastAsia="宋体"/>
          <w:sz w:val="24"/>
        </w:rPr>
        <w:t>、市优秀共产党员、市青年五四奖章、市高校活力团组织/活力社团等市级荣誉奖励</w:t>
      </w:r>
      <w:r>
        <w:rPr>
          <w:rFonts w:ascii="宋体" w:hAnsi="宋体" w:eastAsia="宋体"/>
          <w:sz w:val="24"/>
        </w:rPr>
        <w:t>的集体负责人或个</w:t>
      </w:r>
      <w:r>
        <w:rPr>
          <w:rFonts w:hint="eastAsia" w:ascii="宋体" w:hAnsi="宋体" w:eastAsia="宋体"/>
          <w:sz w:val="24"/>
        </w:rPr>
        <w:t xml:space="preserve">人 </w:t>
      </w:r>
      <w:r>
        <w:rPr>
          <w:rFonts w:ascii="宋体" w:hAnsi="宋体" w:eastAsia="宋体"/>
          <w:sz w:val="24"/>
        </w:rPr>
        <w:t>——————</w:t>
      </w:r>
      <w:r>
        <w:rPr>
          <w:rFonts w:hint="eastAsia" w:ascii="宋体" w:hAnsi="宋体" w:eastAsia="宋体"/>
          <w:sz w:val="24"/>
        </w:rPr>
        <w:t xml:space="preserve"> </w:t>
      </w:r>
      <w:r>
        <w:rPr>
          <w:rFonts w:hint="eastAsia" w:ascii="宋体" w:hAnsi="宋体" w:eastAsia="宋体"/>
          <w:sz w:val="24"/>
          <w:lang w:val="en-US" w:eastAsia="zh-CN"/>
        </w:rPr>
        <w:t xml:space="preserve"> </w:t>
      </w:r>
      <w:r>
        <w:rPr>
          <w:rFonts w:hint="eastAsia" w:ascii="宋体" w:hAnsi="宋体" w:eastAsia="宋体"/>
          <w:sz w:val="24"/>
        </w:rPr>
        <w:t>5</w:t>
      </w:r>
      <w:r>
        <w:rPr>
          <w:rFonts w:ascii="宋体" w:hAnsi="宋体" w:eastAsia="宋体"/>
          <w:sz w:val="24"/>
        </w:rPr>
        <w:t xml:space="preserve">分 </w:t>
      </w:r>
    </w:p>
    <w:p w14:paraId="738893E9">
      <w:pPr>
        <w:spacing w:line="360" w:lineRule="auto"/>
        <w:ind w:firstLine="480" w:firstLineChars="200"/>
        <w:jc w:val="left"/>
        <w:rPr>
          <w:rFonts w:hint="eastAsia" w:ascii="宋体" w:hAnsi="宋体" w:eastAsia="宋体"/>
          <w:sz w:val="24"/>
        </w:rPr>
      </w:pPr>
      <w:r>
        <w:rPr>
          <w:rFonts w:ascii="宋体" w:hAnsi="宋体" w:eastAsia="宋体"/>
          <w:sz w:val="24"/>
        </w:rPr>
        <w:t>获</w:t>
      </w:r>
      <w:r>
        <w:rPr>
          <w:rFonts w:hint="eastAsia" w:ascii="宋体" w:hAnsi="宋体" w:eastAsia="宋体"/>
          <w:sz w:val="24"/>
        </w:rPr>
        <w:t>校级五四红旗团组织、一团一品、社会实践优秀项目、优秀学生、优秀学生干部、优秀共产党员等</w:t>
      </w:r>
      <w:r>
        <w:rPr>
          <w:rFonts w:ascii="宋体" w:hAnsi="宋体" w:eastAsia="宋体"/>
          <w:sz w:val="24"/>
        </w:rPr>
        <w:t>校级奖励的集体负责人或个人——————</w:t>
      </w:r>
      <w:r>
        <w:rPr>
          <w:rFonts w:hint="eastAsia" w:ascii="宋体" w:hAnsi="宋体" w:eastAsia="宋体"/>
          <w:sz w:val="24"/>
        </w:rPr>
        <w:t xml:space="preserve"> </w:t>
      </w:r>
      <w:r>
        <w:rPr>
          <w:rFonts w:hint="eastAsia" w:ascii="宋体" w:hAnsi="宋体" w:eastAsia="宋体"/>
          <w:sz w:val="24"/>
          <w:lang w:val="en-US" w:eastAsia="zh-CN"/>
        </w:rPr>
        <w:t xml:space="preserve"> </w:t>
      </w:r>
      <w:r>
        <w:rPr>
          <w:rFonts w:hint="eastAsia" w:ascii="宋体" w:hAnsi="宋体" w:eastAsia="宋体"/>
          <w:sz w:val="24"/>
        </w:rPr>
        <w:t>3</w:t>
      </w:r>
      <w:r>
        <w:rPr>
          <w:rFonts w:ascii="宋体" w:hAnsi="宋体" w:eastAsia="宋体"/>
          <w:sz w:val="24"/>
        </w:rPr>
        <w:t>分</w:t>
      </w:r>
    </w:p>
    <w:p w14:paraId="1AEA8EC7">
      <w:pPr>
        <w:spacing w:line="360" w:lineRule="auto"/>
        <w:ind w:firstLine="480" w:firstLineChars="200"/>
        <w:rPr>
          <w:rFonts w:hint="eastAsia" w:ascii="宋体" w:hAnsi="宋体" w:eastAsia="宋体"/>
          <w:sz w:val="24"/>
        </w:rPr>
      </w:pPr>
      <w:r>
        <w:rPr>
          <w:rFonts w:ascii="宋体" w:hAnsi="宋体" w:eastAsia="宋体"/>
          <w:sz w:val="24"/>
        </w:rPr>
        <w:t>获</w:t>
      </w:r>
      <w:r>
        <w:rPr>
          <w:rFonts w:hint="eastAsia" w:ascii="宋体" w:hAnsi="宋体" w:eastAsia="宋体"/>
          <w:sz w:val="24"/>
        </w:rPr>
        <w:t>院</w:t>
      </w:r>
      <w:r>
        <w:rPr>
          <w:rFonts w:ascii="宋体" w:hAnsi="宋体" w:eastAsia="宋体"/>
          <w:sz w:val="24"/>
        </w:rPr>
        <w:t>级奖励的集体负责人或个人</w:t>
      </w:r>
      <w:r>
        <w:rPr>
          <w:rFonts w:hint="eastAsia" w:ascii="宋体" w:hAnsi="宋体" w:eastAsia="宋体"/>
          <w:sz w:val="24"/>
        </w:rPr>
        <w:t xml:space="preserve"> </w:t>
      </w:r>
      <w:r>
        <w:rPr>
          <w:rFonts w:ascii="宋体" w:hAnsi="宋体" w:eastAsia="宋体"/>
          <w:sz w:val="24"/>
        </w:rPr>
        <w:t>——————————————</w:t>
      </w:r>
      <w:r>
        <w:rPr>
          <w:rFonts w:hint="eastAsia" w:ascii="宋体" w:hAnsi="宋体" w:eastAsia="宋体"/>
          <w:sz w:val="24"/>
          <w:lang w:val="en-US" w:eastAsia="zh-CN"/>
        </w:rPr>
        <w:t xml:space="preserve"> </w:t>
      </w:r>
      <w:r>
        <w:rPr>
          <w:rFonts w:hint="eastAsia" w:ascii="宋体" w:hAnsi="宋体" w:eastAsia="宋体"/>
          <w:sz w:val="24"/>
        </w:rPr>
        <w:t>1</w:t>
      </w:r>
      <w:r>
        <w:rPr>
          <w:rFonts w:ascii="宋体" w:hAnsi="宋体" w:eastAsia="宋体"/>
          <w:sz w:val="24"/>
        </w:rPr>
        <w:t xml:space="preserve">分 </w:t>
      </w:r>
    </w:p>
    <w:p w14:paraId="06B63B74">
      <w:pPr>
        <w:spacing w:line="360" w:lineRule="auto"/>
        <w:ind w:firstLine="480" w:firstLineChars="200"/>
        <w:jc w:val="left"/>
        <w:rPr>
          <w:rFonts w:hint="eastAsia" w:ascii="宋体" w:hAnsi="宋体" w:eastAsia="宋体"/>
          <w:sz w:val="24"/>
        </w:rPr>
      </w:pPr>
      <w:r>
        <w:rPr>
          <w:rFonts w:ascii="宋体" w:hAnsi="宋体" w:eastAsia="宋体"/>
          <w:sz w:val="24"/>
        </w:rPr>
        <w:t>其它应当认定为表现非常突出的情形</w:t>
      </w:r>
      <w:r>
        <w:rPr>
          <w:rFonts w:hint="eastAsia" w:ascii="宋体" w:hAnsi="宋体" w:eastAsia="宋体"/>
          <w:sz w:val="24"/>
        </w:rPr>
        <w:t>，经学院研究生奖学金评审委员会讨论决定</w:t>
      </w:r>
      <w:r>
        <w:rPr>
          <w:rFonts w:ascii="宋体" w:hAnsi="宋体" w:eastAsia="宋体"/>
          <w:sz w:val="24"/>
        </w:rPr>
        <w:t>。</w:t>
      </w:r>
    </w:p>
    <w:p w14:paraId="169C3419">
      <w:pPr>
        <w:spacing w:line="360" w:lineRule="auto"/>
        <w:ind w:firstLine="480"/>
        <w:rPr>
          <w:rFonts w:hint="eastAsia" w:ascii="宋体" w:hAnsi="宋体" w:eastAsia="宋体"/>
          <w:b/>
          <w:bCs/>
          <w:sz w:val="24"/>
        </w:rPr>
      </w:pPr>
      <w:r>
        <w:rPr>
          <w:rFonts w:ascii="宋体" w:hAnsi="宋体" w:eastAsia="宋体"/>
          <w:b/>
          <w:bCs/>
          <w:sz w:val="24"/>
        </w:rPr>
        <w:t>特别说明：</w:t>
      </w:r>
    </w:p>
    <w:p w14:paraId="6DB32F68">
      <w:pPr>
        <w:spacing w:line="360" w:lineRule="auto"/>
        <w:ind w:firstLine="480"/>
        <w:rPr>
          <w:rFonts w:hint="eastAsia" w:ascii="宋体" w:hAnsi="宋体" w:eastAsia="宋体"/>
          <w:sz w:val="24"/>
        </w:rPr>
      </w:pPr>
      <w:r>
        <w:rPr>
          <w:rFonts w:ascii="宋体" w:hAnsi="宋体" w:eastAsia="宋体"/>
          <w:sz w:val="24"/>
        </w:rPr>
        <w:t>①学生干部任职要满一年或一届，志愿服务与</w:t>
      </w:r>
      <w:r>
        <w:rPr>
          <w:rFonts w:hint="eastAsia" w:ascii="宋体" w:hAnsi="宋体" w:eastAsia="宋体"/>
          <w:sz w:val="24"/>
        </w:rPr>
        <w:t>突出表现</w:t>
      </w:r>
      <w:r>
        <w:rPr>
          <w:rFonts w:ascii="宋体" w:hAnsi="宋体" w:eastAsia="宋体"/>
          <w:sz w:val="24"/>
        </w:rPr>
        <w:t>要有证明材料</w:t>
      </w:r>
      <w:r>
        <w:rPr>
          <w:rFonts w:hint="eastAsia" w:ascii="宋体" w:hAnsi="宋体" w:eastAsia="宋体"/>
          <w:sz w:val="24"/>
        </w:rPr>
        <w:t>；</w:t>
      </w:r>
    </w:p>
    <w:p w14:paraId="6C785952">
      <w:pPr>
        <w:spacing w:line="360" w:lineRule="auto"/>
        <w:ind w:firstLine="480" w:firstLineChars="200"/>
        <w:rPr>
          <w:rFonts w:hint="eastAsia" w:ascii="宋体" w:hAnsi="宋体" w:eastAsia="宋体"/>
          <w:sz w:val="24"/>
        </w:rPr>
      </w:pPr>
      <w:r>
        <w:rPr>
          <w:rFonts w:hint="eastAsia" w:ascii="宋体" w:hAnsi="宋体" w:eastAsia="宋体"/>
          <w:sz w:val="24"/>
        </w:rPr>
        <w:t>②“</w:t>
      </w:r>
      <w:r>
        <w:rPr>
          <w:rFonts w:ascii="宋体" w:hAnsi="宋体" w:eastAsia="宋体"/>
          <w:bCs/>
          <w:sz w:val="24"/>
        </w:rPr>
        <w:t>学生工作</w:t>
      </w:r>
      <w:r>
        <w:rPr>
          <w:rFonts w:hint="eastAsia" w:ascii="宋体" w:hAnsi="宋体" w:eastAsia="宋体"/>
          <w:bCs/>
          <w:sz w:val="24"/>
        </w:rPr>
        <w:t>”“志愿</w:t>
      </w:r>
      <w:r>
        <w:rPr>
          <w:rFonts w:ascii="宋体" w:hAnsi="宋体" w:eastAsia="宋体"/>
          <w:bCs/>
          <w:sz w:val="24"/>
        </w:rPr>
        <w:t>服务</w:t>
      </w:r>
      <w:r>
        <w:rPr>
          <w:rFonts w:hint="eastAsia" w:ascii="宋体" w:hAnsi="宋体" w:eastAsia="宋体"/>
          <w:bCs/>
          <w:sz w:val="24"/>
        </w:rPr>
        <w:t>”“突出表现”单项内部</w:t>
      </w:r>
      <w:r>
        <w:rPr>
          <w:rFonts w:ascii="宋体" w:hAnsi="宋体" w:eastAsia="宋体"/>
          <w:bCs/>
          <w:sz w:val="24"/>
        </w:rPr>
        <w:t>只取最高分</w:t>
      </w:r>
      <w:r>
        <w:rPr>
          <w:rFonts w:ascii="宋体" w:hAnsi="宋体" w:eastAsia="宋体"/>
          <w:sz w:val="24"/>
        </w:rPr>
        <w:t>，</w:t>
      </w:r>
      <w:r>
        <w:rPr>
          <w:rFonts w:hint="eastAsia" w:ascii="宋体" w:hAnsi="宋体" w:eastAsia="宋体"/>
          <w:sz w:val="24"/>
        </w:rPr>
        <w:t>三项之间</w:t>
      </w:r>
      <w:r>
        <w:rPr>
          <w:rFonts w:ascii="宋体" w:hAnsi="宋体" w:eastAsia="宋体"/>
          <w:sz w:val="24"/>
        </w:rPr>
        <w:t>可以累</w:t>
      </w:r>
      <w:r>
        <w:rPr>
          <w:rFonts w:hint="eastAsia" w:ascii="宋体" w:hAnsi="宋体" w:eastAsia="宋体"/>
          <w:sz w:val="24"/>
        </w:rPr>
        <w:t>计</w:t>
      </w:r>
      <w:r>
        <w:rPr>
          <w:rFonts w:ascii="宋体" w:hAnsi="宋体" w:eastAsia="宋体"/>
          <w:sz w:val="24"/>
        </w:rPr>
        <w:t>。</w:t>
      </w:r>
    </w:p>
    <w:p w14:paraId="35B0C5AE">
      <w:pPr>
        <w:spacing w:line="360" w:lineRule="auto"/>
        <w:ind w:firstLine="480"/>
        <w:rPr>
          <w:rFonts w:hint="eastAsia" w:ascii="宋体" w:hAnsi="宋体" w:eastAsia="宋体"/>
          <w:sz w:val="24"/>
        </w:rPr>
      </w:pPr>
      <w:r>
        <w:rPr>
          <w:rFonts w:hint="eastAsia" w:ascii="宋体" w:hAnsi="宋体" w:eastAsia="宋体"/>
          <w:sz w:val="24"/>
        </w:rPr>
        <w:t>③社会活动分值</w:t>
      </w:r>
      <w:r>
        <w:rPr>
          <w:rFonts w:hint="eastAsia" w:ascii="宋体" w:hAnsi="宋体" w:eastAsia="宋体"/>
          <w:b/>
          <w:bCs/>
          <w:sz w:val="24"/>
        </w:rPr>
        <w:t>以同一学段参选学生最高分为满分</w:t>
      </w:r>
      <w:r>
        <w:rPr>
          <w:rFonts w:hint="eastAsia" w:ascii="宋体" w:hAnsi="宋体" w:eastAsia="宋体"/>
          <w:sz w:val="24"/>
        </w:rPr>
        <w:t>（博士10分、硕士15分），其他学生等比例</w:t>
      </w:r>
      <w:r>
        <w:rPr>
          <w:rFonts w:hint="eastAsia" w:ascii="宋体" w:hAnsi="宋体" w:eastAsia="宋体"/>
          <w:b/>
          <w:bCs/>
          <w:sz w:val="24"/>
        </w:rPr>
        <w:t>标准化计算</w:t>
      </w:r>
      <w:r>
        <w:rPr>
          <w:rFonts w:hint="eastAsia" w:ascii="宋体" w:hAnsi="宋体" w:eastAsia="宋体"/>
          <w:sz w:val="24"/>
        </w:rPr>
        <w:t>。</w:t>
      </w:r>
    </w:p>
    <w:p w14:paraId="2216F0A1">
      <w:pPr>
        <w:spacing w:line="360" w:lineRule="auto"/>
        <w:rPr>
          <w:rFonts w:hint="eastAsia" w:ascii="宋体" w:hAnsi="宋体" w:eastAsia="宋体" w:cs="Segoe UI"/>
          <w:b/>
          <w:sz w:val="24"/>
        </w:rPr>
      </w:pPr>
    </w:p>
    <w:p w14:paraId="3762EF27">
      <w:pPr>
        <w:spacing w:line="360" w:lineRule="auto"/>
        <w:rPr>
          <w:rFonts w:hint="eastAsia" w:ascii="宋体" w:hAnsi="宋体" w:eastAsia="宋体" w:cs="Segoe UI"/>
          <w:b/>
          <w:sz w:val="24"/>
        </w:rPr>
      </w:pPr>
      <w:r>
        <w:rPr>
          <w:rFonts w:hint="eastAsia" w:ascii="宋体" w:hAnsi="宋体" w:eastAsia="宋体" w:cs="Segoe UI"/>
          <w:b/>
          <w:sz w:val="24"/>
        </w:rPr>
        <w:t>三、科研潜力/综合表现（博士60分、硕士45分）</w:t>
      </w:r>
    </w:p>
    <w:p w14:paraId="562F77F9">
      <w:pPr>
        <w:spacing w:line="360" w:lineRule="auto"/>
        <w:ind w:firstLine="480" w:firstLineChars="200"/>
        <w:rPr>
          <w:rFonts w:hint="eastAsia" w:ascii="宋体" w:hAnsi="宋体" w:eastAsia="宋体"/>
          <w:sz w:val="24"/>
        </w:rPr>
      </w:pPr>
      <w:r>
        <w:rPr>
          <w:rFonts w:hint="eastAsia" w:ascii="宋体" w:hAnsi="宋体" w:eastAsia="宋体"/>
          <w:sz w:val="24"/>
        </w:rPr>
        <w:t>学院答辩评审小组根据申请人答辩情况打分，主要考察以下四个维度：</w:t>
      </w:r>
    </w:p>
    <w:p w14:paraId="6E4BEF76">
      <w:pPr>
        <w:spacing w:line="360" w:lineRule="auto"/>
        <w:ind w:firstLine="420"/>
        <w:rPr>
          <w:rFonts w:hint="eastAsia" w:ascii="宋体" w:hAnsi="宋体" w:eastAsia="宋体"/>
          <w:sz w:val="24"/>
        </w:rPr>
      </w:pPr>
      <w:r>
        <w:rPr>
          <w:rFonts w:hint="eastAsia" w:ascii="宋体" w:hAnsi="宋体" w:eastAsia="宋体"/>
          <w:b/>
          <w:bCs/>
          <w:sz w:val="24"/>
        </w:rPr>
        <w:t>1.科研基础与创新能力</w:t>
      </w:r>
      <w:r>
        <w:rPr>
          <w:rFonts w:hint="eastAsia" w:ascii="宋体" w:hAnsi="宋体" w:eastAsia="宋体"/>
          <w:sz w:val="24"/>
        </w:rPr>
        <w:t>：对研究领域的理解深度、知识储备、提出科学问题与设计解决方案的能力；</w:t>
      </w:r>
    </w:p>
    <w:p w14:paraId="33864CBD">
      <w:pPr>
        <w:spacing w:line="360" w:lineRule="auto"/>
        <w:ind w:firstLine="420"/>
        <w:rPr>
          <w:rFonts w:hint="eastAsia" w:ascii="宋体" w:hAnsi="宋体" w:eastAsia="宋体"/>
          <w:sz w:val="24"/>
        </w:rPr>
      </w:pPr>
      <w:r>
        <w:rPr>
          <w:rFonts w:hint="eastAsia" w:ascii="宋体" w:hAnsi="宋体" w:eastAsia="宋体"/>
          <w:b/>
          <w:bCs/>
          <w:sz w:val="24"/>
        </w:rPr>
        <w:t>2.</w:t>
      </w:r>
      <w:r>
        <w:rPr>
          <w:rFonts w:ascii="宋体" w:hAnsi="宋体" w:eastAsia="宋体"/>
          <w:b/>
          <w:bCs/>
          <w:sz w:val="24"/>
        </w:rPr>
        <w:t>研究成果与学术价值</w:t>
      </w:r>
      <w:r>
        <w:rPr>
          <w:rFonts w:hint="eastAsia" w:ascii="宋体" w:hAnsi="宋体" w:eastAsia="宋体"/>
          <w:b/>
          <w:bCs/>
          <w:sz w:val="24"/>
        </w:rPr>
        <w:t>：</w:t>
      </w:r>
      <w:r>
        <w:rPr>
          <w:rFonts w:hint="eastAsia" w:ascii="宋体" w:hAnsi="宋体" w:eastAsia="宋体"/>
          <w:sz w:val="24"/>
        </w:rPr>
        <w:t>已取得成果的质量、贡献度及其在学科发展中的潜在影响力；</w:t>
      </w:r>
    </w:p>
    <w:p w14:paraId="566BE402">
      <w:pPr>
        <w:spacing w:line="360" w:lineRule="auto"/>
        <w:ind w:firstLine="420"/>
        <w:rPr>
          <w:rFonts w:hint="eastAsia" w:ascii="宋体" w:hAnsi="宋体" w:eastAsia="宋体"/>
          <w:sz w:val="24"/>
        </w:rPr>
      </w:pPr>
      <w:r>
        <w:rPr>
          <w:rFonts w:hint="eastAsia" w:ascii="宋体" w:hAnsi="宋体" w:eastAsia="宋体"/>
          <w:b/>
          <w:bCs/>
          <w:sz w:val="24"/>
        </w:rPr>
        <w:t>3.</w:t>
      </w:r>
      <w:r>
        <w:rPr>
          <w:rFonts w:ascii="宋体" w:hAnsi="宋体" w:eastAsia="宋体"/>
          <w:b/>
          <w:bCs/>
          <w:sz w:val="24"/>
        </w:rPr>
        <w:t>表达与逻辑素养</w:t>
      </w:r>
      <w:r>
        <w:rPr>
          <w:rFonts w:hint="eastAsia" w:ascii="宋体" w:hAnsi="宋体" w:eastAsia="宋体"/>
          <w:b/>
          <w:bCs/>
          <w:sz w:val="24"/>
        </w:rPr>
        <w:t>：</w:t>
      </w:r>
      <w:r>
        <w:rPr>
          <w:rFonts w:hint="eastAsia" w:ascii="宋体" w:hAnsi="宋体" w:eastAsia="宋体"/>
          <w:sz w:val="24"/>
        </w:rPr>
        <w:t>清晰、有条理地展示科研工作，有效回答问题的能力；</w:t>
      </w:r>
    </w:p>
    <w:p w14:paraId="0E10B74B">
      <w:pPr>
        <w:spacing w:line="360" w:lineRule="auto"/>
        <w:ind w:firstLine="420"/>
        <w:rPr>
          <w:rFonts w:hint="eastAsia" w:ascii="宋体" w:hAnsi="宋体" w:eastAsia="宋体"/>
          <w:sz w:val="24"/>
        </w:rPr>
      </w:pPr>
      <w:r>
        <w:rPr>
          <w:rFonts w:hint="eastAsia" w:ascii="宋体" w:hAnsi="宋体" w:eastAsia="宋体"/>
          <w:b/>
          <w:bCs/>
          <w:sz w:val="24"/>
        </w:rPr>
        <w:t>4.</w:t>
      </w:r>
      <w:r>
        <w:rPr>
          <w:rFonts w:ascii="宋体" w:hAnsi="宋体" w:eastAsia="宋体"/>
          <w:b/>
          <w:bCs/>
          <w:sz w:val="24"/>
        </w:rPr>
        <w:t>发展潜质与综合素养</w:t>
      </w:r>
      <w:r>
        <w:rPr>
          <w:rFonts w:hint="eastAsia" w:ascii="宋体" w:hAnsi="宋体" w:eastAsia="宋体"/>
          <w:sz w:val="24"/>
        </w:rPr>
        <w:t>：未来科研规划的科学性、个人品质及团队精神。</w:t>
      </w:r>
    </w:p>
    <w:p w14:paraId="506FFA30">
      <w:pPr>
        <w:spacing w:line="360" w:lineRule="auto"/>
        <w:rPr>
          <w:rFonts w:ascii="宋体" w:hAnsi="宋体" w:eastAsia="宋体"/>
          <w:sz w:val="24"/>
        </w:rPr>
      </w:pPr>
    </w:p>
    <w:p w14:paraId="53930642">
      <w:pPr>
        <w:spacing w:line="360" w:lineRule="auto"/>
        <w:ind w:firstLine="480"/>
        <w:jc w:val="left"/>
        <w:rPr>
          <w:rFonts w:hint="eastAsia" w:ascii="宋体" w:hAnsi="宋体" w:eastAsia="宋体"/>
          <w:b/>
          <w:sz w:val="28"/>
          <w:szCs w:val="30"/>
        </w:rPr>
      </w:pPr>
      <w:r>
        <w:rPr>
          <w:rFonts w:hint="eastAsia" w:ascii="宋体" w:hAnsi="宋体" w:eastAsia="宋体"/>
          <w:b/>
          <w:sz w:val="24"/>
        </w:rPr>
        <w:t>在本评审办法框架内，答辩评审小组可结合实际情况开展评审工作。本办法的解释权归华东师范大学生命科学学院研究生奖学金评审委员会所有。</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B311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6</w:t>
    </w:r>
    <w:r>
      <w:fldChar w:fldCharType="end"/>
    </w:r>
  </w:p>
  <w:p w14:paraId="20BE6A0D">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DB58D"/>
    <w:multiLevelType w:val="singleLevel"/>
    <w:tmpl w:val="3EEDB5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JhZGI2NDA4MGE3ZmFmOWQwZWZiYjhhYjllZGQxYzgifQ=="/>
  </w:docVars>
  <w:rsids>
    <w:rsidRoot w:val="00FA4E14"/>
    <w:rsid w:val="000758ED"/>
    <w:rsid w:val="001801BA"/>
    <w:rsid w:val="002100A7"/>
    <w:rsid w:val="005019D2"/>
    <w:rsid w:val="00524288"/>
    <w:rsid w:val="005B4FA3"/>
    <w:rsid w:val="00832682"/>
    <w:rsid w:val="00874C51"/>
    <w:rsid w:val="008B6DA3"/>
    <w:rsid w:val="009C6460"/>
    <w:rsid w:val="00A156C4"/>
    <w:rsid w:val="00A42BBB"/>
    <w:rsid w:val="00AB4F65"/>
    <w:rsid w:val="00AE30B0"/>
    <w:rsid w:val="00BC7A1D"/>
    <w:rsid w:val="00C5479B"/>
    <w:rsid w:val="00C734AE"/>
    <w:rsid w:val="00C851AE"/>
    <w:rsid w:val="00C9040C"/>
    <w:rsid w:val="00CA613C"/>
    <w:rsid w:val="00CE69B2"/>
    <w:rsid w:val="00D03026"/>
    <w:rsid w:val="00D26D9F"/>
    <w:rsid w:val="00D40BD0"/>
    <w:rsid w:val="00E032BA"/>
    <w:rsid w:val="00E84814"/>
    <w:rsid w:val="00E92B72"/>
    <w:rsid w:val="00EC3F6A"/>
    <w:rsid w:val="00F267EA"/>
    <w:rsid w:val="00F94E62"/>
    <w:rsid w:val="00FA4E14"/>
    <w:rsid w:val="00FB2620"/>
    <w:rsid w:val="010E70F1"/>
    <w:rsid w:val="01172A03"/>
    <w:rsid w:val="012670EA"/>
    <w:rsid w:val="01323CE1"/>
    <w:rsid w:val="01341807"/>
    <w:rsid w:val="0147153B"/>
    <w:rsid w:val="01514167"/>
    <w:rsid w:val="018F6A3E"/>
    <w:rsid w:val="024A0BB7"/>
    <w:rsid w:val="0261487E"/>
    <w:rsid w:val="027F2F56"/>
    <w:rsid w:val="02810A7C"/>
    <w:rsid w:val="02F96864"/>
    <w:rsid w:val="0304067F"/>
    <w:rsid w:val="031C69F7"/>
    <w:rsid w:val="031E451D"/>
    <w:rsid w:val="03394EB3"/>
    <w:rsid w:val="03960557"/>
    <w:rsid w:val="03A10CAA"/>
    <w:rsid w:val="03AA4003"/>
    <w:rsid w:val="03B95FF4"/>
    <w:rsid w:val="047F2D99"/>
    <w:rsid w:val="04F96FF0"/>
    <w:rsid w:val="05CE6C64"/>
    <w:rsid w:val="05F257ED"/>
    <w:rsid w:val="05F477B7"/>
    <w:rsid w:val="06085010"/>
    <w:rsid w:val="06367DD0"/>
    <w:rsid w:val="064C75F3"/>
    <w:rsid w:val="068B1EC9"/>
    <w:rsid w:val="069A035E"/>
    <w:rsid w:val="06A05249"/>
    <w:rsid w:val="06AB256C"/>
    <w:rsid w:val="06C07699"/>
    <w:rsid w:val="06F86E33"/>
    <w:rsid w:val="078D3A1F"/>
    <w:rsid w:val="07967D30"/>
    <w:rsid w:val="07F95559"/>
    <w:rsid w:val="082C4FE6"/>
    <w:rsid w:val="085B58CB"/>
    <w:rsid w:val="08964B56"/>
    <w:rsid w:val="09497E1A"/>
    <w:rsid w:val="097F55EA"/>
    <w:rsid w:val="09B90AFC"/>
    <w:rsid w:val="09C86F91"/>
    <w:rsid w:val="09D5345C"/>
    <w:rsid w:val="0A5E16A3"/>
    <w:rsid w:val="0A80786B"/>
    <w:rsid w:val="0A9357F1"/>
    <w:rsid w:val="0B332B30"/>
    <w:rsid w:val="0B354AFA"/>
    <w:rsid w:val="0B907F82"/>
    <w:rsid w:val="0B9F6417"/>
    <w:rsid w:val="0BC65752"/>
    <w:rsid w:val="0BCD088E"/>
    <w:rsid w:val="0C234952"/>
    <w:rsid w:val="0C2D757F"/>
    <w:rsid w:val="0C6F7B97"/>
    <w:rsid w:val="0CC223BD"/>
    <w:rsid w:val="0CDB6FDB"/>
    <w:rsid w:val="0CE95B9C"/>
    <w:rsid w:val="0D407A1C"/>
    <w:rsid w:val="0D927D0C"/>
    <w:rsid w:val="0D935B07"/>
    <w:rsid w:val="0DB31D06"/>
    <w:rsid w:val="0DBC0BBA"/>
    <w:rsid w:val="0DC21F49"/>
    <w:rsid w:val="0DD71E98"/>
    <w:rsid w:val="0DE16873"/>
    <w:rsid w:val="0E24650F"/>
    <w:rsid w:val="0E6F0323"/>
    <w:rsid w:val="0E796AAB"/>
    <w:rsid w:val="0F7F00F1"/>
    <w:rsid w:val="0F7F4595"/>
    <w:rsid w:val="0FE4089C"/>
    <w:rsid w:val="0FF30ADF"/>
    <w:rsid w:val="0FFE15AE"/>
    <w:rsid w:val="10282537"/>
    <w:rsid w:val="102962AF"/>
    <w:rsid w:val="10374E70"/>
    <w:rsid w:val="104430E9"/>
    <w:rsid w:val="10B77D5F"/>
    <w:rsid w:val="113E3FDC"/>
    <w:rsid w:val="116752E1"/>
    <w:rsid w:val="117A5014"/>
    <w:rsid w:val="11B04EDA"/>
    <w:rsid w:val="11C22E36"/>
    <w:rsid w:val="12372FF3"/>
    <w:rsid w:val="125C296C"/>
    <w:rsid w:val="127B54E8"/>
    <w:rsid w:val="128E689D"/>
    <w:rsid w:val="13053004"/>
    <w:rsid w:val="13CC58CF"/>
    <w:rsid w:val="13DF5603"/>
    <w:rsid w:val="14385EE1"/>
    <w:rsid w:val="144B0EEA"/>
    <w:rsid w:val="145853B5"/>
    <w:rsid w:val="14636234"/>
    <w:rsid w:val="15121A08"/>
    <w:rsid w:val="1548367B"/>
    <w:rsid w:val="15746899"/>
    <w:rsid w:val="15B8610B"/>
    <w:rsid w:val="1602382A"/>
    <w:rsid w:val="16223ECC"/>
    <w:rsid w:val="1662251B"/>
    <w:rsid w:val="167C182F"/>
    <w:rsid w:val="170809D5"/>
    <w:rsid w:val="172A128B"/>
    <w:rsid w:val="17306175"/>
    <w:rsid w:val="177E3384"/>
    <w:rsid w:val="17EA0A1A"/>
    <w:rsid w:val="17ED1F4D"/>
    <w:rsid w:val="18253800"/>
    <w:rsid w:val="183A204C"/>
    <w:rsid w:val="183F0D66"/>
    <w:rsid w:val="187622AE"/>
    <w:rsid w:val="18B72C9A"/>
    <w:rsid w:val="18C15C1F"/>
    <w:rsid w:val="19120228"/>
    <w:rsid w:val="19193365"/>
    <w:rsid w:val="19834C82"/>
    <w:rsid w:val="19B47531"/>
    <w:rsid w:val="19B66E06"/>
    <w:rsid w:val="19EA2F53"/>
    <w:rsid w:val="1A02029D"/>
    <w:rsid w:val="1A0C111B"/>
    <w:rsid w:val="1AE94FB9"/>
    <w:rsid w:val="1B087B35"/>
    <w:rsid w:val="1B7725C5"/>
    <w:rsid w:val="1B79458F"/>
    <w:rsid w:val="1B9C64CF"/>
    <w:rsid w:val="1BAD4238"/>
    <w:rsid w:val="1BB455C7"/>
    <w:rsid w:val="1C0F5D62"/>
    <w:rsid w:val="1C26614A"/>
    <w:rsid w:val="1C784846"/>
    <w:rsid w:val="1C984EE8"/>
    <w:rsid w:val="1D047E88"/>
    <w:rsid w:val="1D6D1ED1"/>
    <w:rsid w:val="1DE101C9"/>
    <w:rsid w:val="1E2C3B3A"/>
    <w:rsid w:val="1E7F010E"/>
    <w:rsid w:val="1EA23DFC"/>
    <w:rsid w:val="1F664E2A"/>
    <w:rsid w:val="1F7532BF"/>
    <w:rsid w:val="1F90634B"/>
    <w:rsid w:val="1FA10AA4"/>
    <w:rsid w:val="1FC63B1B"/>
    <w:rsid w:val="1FD04999"/>
    <w:rsid w:val="202820DF"/>
    <w:rsid w:val="203647FC"/>
    <w:rsid w:val="20566C4C"/>
    <w:rsid w:val="205729C5"/>
    <w:rsid w:val="20C77B4A"/>
    <w:rsid w:val="21260D15"/>
    <w:rsid w:val="21437F8D"/>
    <w:rsid w:val="217355DC"/>
    <w:rsid w:val="21BC6F83"/>
    <w:rsid w:val="21BF6A73"/>
    <w:rsid w:val="21DC13D3"/>
    <w:rsid w:val="21FE57EE"/>
    <w:rsid w:val="2209080D"/>
    <w:rsid w:val="22237002"/>
    <w:rsid w:val="2230171F"/>
    <w:rsid w:val="224C47AB"/>
    <w:rsid w:val="22F34C27"/>
    <w:rsid w:val="230010F2"/>
    <w:rsid w:val="235C6C70"/>
    <w:rsid w:val="236C49D9"/>
    <w:rsid w:val="23767606"/>
    <w:rsid w:val="238849F3"/>
    <w:rsid w:val="24596D0B"/>
    <w:rsid w:val="24883A94"/>
    <w:rsid w:val="248D2E59"/>
    <w:rsid w:val="24B14D99"/>
    <w:rsid w:val="251351F3"/>
    <w:rsid w:val="25957225"/>
    <w:rsid w:val="25A0096A"/>
    <w:rsid w:val="25EB6089"/>
    <w:rsid w:val="263537A8"/>
    <w:rsid w:val="26812549"/>
    <w:rsid w:val="2697085D"/>
    <w:rsid w:val="26BB3CAD"/>
    <w:rsid w:val="26C80178"/>
    <w:rsid w:val="272730F1"/>
    <w:rsid w:val="27846795"/>
    <w:rsid w:val="27895B59"/>
    <w:rsid w:val="27932534"/>
    <w:rsid w:val="27AE736E"/>
    <w:rsid w:val="27C748D4"/>
    <w:rsid w:val="27D36DD5"/>
    <w:rsid w:val="27E9484A"/>
    <w:rsid w:val="27F31225"/>
    <w:rsid w:val="284877C3"/>
    <w:rsid w:val="289E3886"/>
    <w:rsid w:val="28CB3F50"/>
    <w:rsid w:val="28D948BF"/>
    <w:rsid w:val="29194CBB"/>
    <w:rsid w:val="29257B04"/>
    <w:rsid w:val="2940049A"/>
    <w:rsid w:val="297D524A"/>
    <w:rsid w:val="29FF0355"/>
    <w:rsid w:val="2A047719"/>
    <w:rsid w:val="2A30050E"/>
    <w:rsid w:val="2A50295E"/>
    <w:rsid w:val="2A8E3487"/>
    <w:rsid w:val="2B0674C1"/>
    <w:rsid w:val="2B470615"/>
    <w:rsid w:val="2B5446D0"/>
    <w:rsid w:val="2B674404"/>
    <w:rsid w:val="2BCA06FD"/>
    <w:rsid w:val="2BE315B0"/>
    <w:rsid w:val="2C1E106C"/>
    <w:rsid w:val="2C4958B7"/>
    <w:rsid w:val="2C5A3F68"/>
    <w:rsid w:val="2C820DC9"/>
    <w:rsid w:val="2C9034E6"/>
    <w:rsid w:val="2CE850D0"/>
    <w:rsid w:val="2D5E5392"/>
    <w:rsid w:val="2D9E1C33"/>
    <w:rsid w:val="2DFF0254"/>
    <w:rsid w:val="2E2A1718"/>
    <w:rsid w:val="2E4722CA"/>
    <w:rsid w:val="2E6405A0"/>
    <w:rsid w:val="2E8569B6"/>
    <w:rsid w:val="2F0957D2"/>
    <w:rsid w:val="2F171C9D"/>
    <w:rsid w:val="2F3E36CD"/>
    <w:rsid w:val="2F8135BA"/>
    <w:rsid w:val="2FA8323D"/>
    <w:rsid w:val="2FC326B9"/>
    <w:rsid w:val="30224D9D"/>
    <w:rsid w:val="304C5976"/>
    <w:rsid w:val="30703D5A"/>
    <w:rsid w:val="30EC0F07"/>
    <w:rsid w:val="30F1651D"/>
    <w:rsid w:val="31231C2B"/>
    <w:rsid w:val="312B1A2F"/>
    <w:rsid w:val="316D2048"/>
    <w:rsid w:val="317258B0"/>
    <w:rsid w:val="31B163D9"/>
    <w:rsid w:val="31BE0AF5"/>
    <w:rsid w:val="31CF685F"/>
    <w:rsid w:val="31D9148B"/>
    <w:rsid w:val="31E3055C"/>
    <w:rsid w:val="32116E77"/>
    <w:rsid w:val="32140715"/>
    <w:rsid w:val="323F1C36"/>
    <w:rsid w:val="32B31CDC"/>
    <w:rsid w:val="33541711"/>
    <w:rsid w:val="335D7E9A"/>
    <w:rsid w:val="33837901"/>
    <w:rsid w:val="33A15FD9"/>
    <w:rsid w:val="33E02FA5"/>
    <w:rsid w:val="33F00D0E"/>
    <w:rsid w:val="340A6274"/>
    <w:rsid w:val="34120C85"/>
    <w:rsid w:val="345614B9"/>
    <w:rsid w:val="34713BFD"/>
    <w:rsid w:val="34A00986"/>
    <w:rsid w:val="34AC10D9"/>
    <w:rsid w:val="34D81ECE"/>
    <w:rsid w:val="35213875"/>
    <w:rsid w:val="35301D0A"/>
    <w:rsid w:val="356674DA"/>
    <w:rsid w:val="356A371C"/>
    <w:rsid w:val="359758E5"/>
    <w:rsid w:val="359C114E"/>
    <w:rsid w:val="35E14DB3"/>
    <w:rsid w:val="37002D54"/>
    <w:rsid w:val="373A0C1E"/>
    <w:rsid w:val="37503F9E"/>
    <w:rsid w:val="375D66BB"/>
    <w:rsid w:val="37647A49"/>
    <w:rsid w:val="3768137E"/>
    <w:rsid w:val="37B1660C"/>
    <w:rsid w:val="37B87D95"/>
    <w:rsid w:val="37C624B2"/>
    <w:rsid w:val="37E961A0"/>
    <w:rsid w:val="37FE1C4C"/>
    <w:rsid w:val="38305B7D"/>
    <w:rsid w:val="38595463"/>
    <w:rsid w:val="388D2FD0"/>
    <w:rsid w:val="38B14F10"/>
    <w:rsid w:val="38B642D4"/>
    <w:rsid w:val="38CF183A"/>
    <w:rsid w:val="38D1110E"/>
    <w:rsid w:val="38ED2E87"/>
    <w:rsid w:val="38F92413"/>
    <w:rsid w:val="393504F9"/>
    <w:rsid w:val="393C5773"/>
    <w:rsid w:val="3982065B"/>
    <w:rsid w:val="398B7EEB"/>
    <w:rsid w:val="39D72754"/>
    <w:rsid w:val="39F552D0"/>
    <w:rsid w:val="3A013C75"/>
    <w:rsid w:val="3A10210A"/>
    <w:rsid w:val="3A43428E"/>
    <w:rsid w:val="3A4F49E1"/>
    <w:rsid w:val="3A5E2E76"/>
    <w:rsid w:val="3AF9494C"/>
    <w:rsid w:val="3B0752BB"/>
    <w:rsid w:val="3B194FEF"/>
    <w:rsid w:val="3B1B2B15"/>
    <w:rsid w:val="3B3140E6"/>
    <w:rsid w:val="3BC62A80"/>
    <w:rsid w:val="3BE61375"/>
    <w:rsid w:val="3C4936B2"/>
    <w:rsid w:val="3C983456"/>
    <w:rsid w:val="3CE64168"/>
    <w:rsid w:val="3D1218E9"/>
    <w:rsid w:val="3D1A33D9"/>
    <w:rsid w:val="3D3D6D72"/>
    <w:rsid w:val="3DA9265A"/>
    <w:rsid w:val="3DB17760"/>
    <w:rsid w:val="3DB42DAD"/>
    <w:rsid w:val="3DDD0555"/>
    <w:rsid w:val="3DF15DAF"/>
    <w:rsid w:val="3DFC6C2D"/>
    <w:rsid w:val="3E444130"/>
    <w:rsid w:val="3E562860"/>
    <w:rsid w:val="3E703177"/>
    <w:rsid w:val="3E815385"/>
    <w:rsid w:val="3EA36924"/>
    <w:rsid w:val="3EB23790"/>
    <w:rsid w:val="3EC32E8E"/>
    <w:rsid w:val="3EE31B9B"/>
    <w:rsid w:val="3EE55913"/>
    <w:rsid w:val="3F161F71"/>
    <w:rsid w:val="3F7A2500"/>
    <w:rsid w:val="3F8F3AD1"/>
    <w:rsid w:val="3F9D4665"/>
    <w:rsid w:val="3FCF3ECE"/>
    <w:rsid w:val="3FD339BE"/>
    <w:rsid w:val="3FDD2A8F"/>
    <w:rsid w:val="3FEC0F24"/>
    <w:rsid w:val="3FF102E8"/>
    <w:rsid w:val="403703F1"/>
    <w:rsid w:val="40416B7A"/>
    <w:rsid w:val="40490124"/>
    <w:rsid w:val="404B17A6"/>
    <w:rsid w:val="40F41E3E"/>
    <w:rsid w:val="412B15D8"/>
    <w:rsid w:val="4168282C"/>
    <w:rsid w:val="41764F49"/>
    <w:rsid w:val="41AF2209"/>
    <w:rsid w:val="41DD28D2"/>
    <w:rsid w:val="41E53E7C"/>
    <w:rsid w:val="421B789E"/>
    <w:rsid w:val="422229DB"/>
    <w:rsid w:val="425828A0"/>
    <w:rsid w:val="42707BEA"/>
    <w:rsid w:val="427C652B"/>
    <w:rsid w:val="42A47894"/>
    <w:rsid w:val="431E13F4"/>
    <w:rsid w:val="434B7D0F"/>
    <w:rsid w:val="43E15CBA"/>
    <w:rsid w:val="44CB735A"/>
    <w:rsid w:val="45114E6C"/>
    <w:rsid w:val="451A3E3D"/>
    <w:rsid w:val="455A2743"/>
    <w:rsid w:val="457479F1"/>
    <w:rsid w:val="45B93656"/>
    <w:rsid w:val="45EC7588"/>
    <w:rsid w:val="467D28D5"/>
    <w:rsid w:val="468B4FF2"/>
    <w:rsid w:val="46A75BA4"/>
    <w:rsid w:val="46D71FE6"/>
    <w:rsid w:val="475A49C5"/>
    <w:rsid w:val="47794557"/>
    <w:rsid w:val="47A45C40"/>
    <w:rsid w:val="47D76015"/>
    <w:rsid w:val="48931F3C"/>
    <w:rsid w:val="48A71E8C"/>
    <w:rsid w:val="48AC2FFE"/>
    <w:rsid w:val="48C52312"/>
    <w:rsid w:val="48E629B4"/>
    <w:rsid w:val="493C0826"/>
    <w:rsid w:val="4970227E"/>
    <w:rsid w:val="49C03F9E"/>
    <w:rsid w:val="49C16F7D"/>
    <w:rsid w:val="4A1946C3"/>
    <w:rsid w:val="4A266DE0"/>
    <w:rsid w:val="4A527BD5"/>
    <w:rsid w:val="4A673681"/>
    <w:rsid w:val="4A7B537E"/>
    <w:rsid w:val="4A8204BA"/>
    <w:rsid w:val="4AAA17BF"/>
    <w:rsid w:val="4ACD7C7C"/>
    <w:rsid w:val="4B013AD5"/>
    <w:rsid w:val="4B375749"/>
    <w:rsid w:val="4B49722A"/>
    <w:rsid w:val="4B8F7333"/>
    <w:rsid w:val="4BBC79FC"/>
    <w:rsid w:val="4BE07B8E"/>
    <w:rsid w:val="4C06511B"/>
    <w:rsid w:val="4CAC181F"/>
    <w:rsid w:val="4D183358"/>
    <w:rsid w:val="4D1D44CA"/>
    <w:rsid w:val="4D5D520F"/>
    <w:rsid w:val="4D897DB2"/>
    <w:rsid w:val="4D95384D"/>
    <w:rsid w:val="4D9A1FBF"/>
    <w:rsid w:val="4E6D76D3"/>
    <w:rsid w:val="4E895AAC"/>
    <w:rsid w:val="4EE47996"/>
    <w:rsid w:val="4EEA0D24"/>
    <w:rsid w:val="4EF92D15"/>
    <w:rsid w:val="4EFE032C"/>
    <w:rsid w:val="4F0973FC"/>
    <w:rsid w:val="4F244236"/>
    <w:rsid w:val="4F3B1580"/>
    <w:rsid w:val="4F46621E"/>
    <w:rsid w:val="4F624D5E"/>
    <w:rsid w:val="4FD5108C"/>
    <w:rsid w:val="4FFA0AF3"/>
    <w:rsid w:val="502358D4"/>
    <w:rsid w:val="50302767"/>
    <w:rsid w:val="50485D02"/>
    <w:rsid w:val="50493828"/>
    <w:rsid w:val="50852AB2"/>
    <w:rsid w:val="509E5922"/>
    <w:rsid w:val="50CA2BBB"/>
    <w:rsid w:val="50DD28EE"/>
    <w:rsid w:val="50F9524E"/>
    <w:rsid w:val="514E10F6"/>
    <w:rsid w:val="515F1555"/>
    <w:rsid w:val="51B66C9C"/>
    <w:rsid w:val="51F31C9E"/>
    <w:rsid w:val="522602C5"/>
    <w:rsid w:val="5253098E"/>
    <w:rsid w:val="52B458D1"/>
    <w:rsid w:val="52D94008"/>
    <w:rsid w:val="53081779"/>
    <w:rsid w:val="530E3233"/>
    <w:rsid w:val="533508E5"/>
    <w:rsid w:val="53874D93"/>
    <w:rsid w:val="539A6875"/>
    <w:rsid w:val="53F00B8B"/>
    <w:rsid w:val="53F73CC7"/>
    <w:rsid w:val="540939FA"/>
    <w:rsid w:val="54106B37"/>
    <w:rsid w:val="542B3971"/>
    <w:rsid w:val="545253A1"/>
    <w:rsid w:val="54641D9D"/>
    <w:rsid w:val="547370C6"/>
    <w:rsid w:val="547C241E"/>
    <w:rsid w:val="548337AD"/>
    <w:rsid w:val="54F55D2D"/>
    <w:rsid w:val="55006BAB"/>
    <w:rsid w:val="554D7917"/>
    <w:rsid w:val="55AC6D33"/>
    <w:rsid w:val="55CE2806"/>
    <w:rsid w:val="560C332E"/>
    <w:rsid w:val="56D26326"/>
    <w:rsid w:val="56F444EE"/>
    <w:rsid w:val="570D55B0"/>
    <w:rsid w:val="57923D07"/>
    <w:rsid w:val="57A25FFC"/>
    <w:rsid w:val="57AA1F7E"/>
    <w:rsid w:val="580E5A83"/>
    <w:rsid w:val="58C46142"/>
    <w:rsid w:val="58F06F37"/>
    <w:rsid w:val="59101387"/>
    <w:rsid w:val="593B4656"/>
    <w:rsid w:val="59DE4FE1"/>
    <w:rsid w:val="5A225816"/>
    <w:rsid w:val="5A4A08C9"/>
    <w:rsid w:val="5B01542B"/>
    <w:rsid w:val="5B136F0D"/>
    <w:rsid w:val="5B353327"/>
    <w:rsid w:val="5B7976B8"/>
    <w:rsid w:val="5B857E0A"/>
    <w:rsid w:val="5BDE751B"/>
    <w:rsid w:val="5C163158"/>
    <w:rsid w:val="5CC04E72"/>
    <w:rsid w:val="5CE15514"/>
    <w:rsid w:val="5CE62B2B"/>
    <w:rsid w:val="5D1C02FB"/>
    <w:rsid w:val="5D504448"/>
    <w:rsid w:val="5D731EE5"/>
    <w:rsid w:val="5DCD196D"/>
    <w:rsid w:val="5DE74DAC"/>
    <w:rsid w:val="5DF72B16"/>
    <w:rsid w:val="5E5E2B95"/>
    <w:rsid w:val="5E6C3504"/>
    <w:rsid w:val="5E79352B"/>
    <w:rsid w:val="5ED03A93"/>
    <w:rsid w:val="5EEB267A"/>
    <w:rsid w:val="5F426012"/>
    <w:rsid w:val="5F5A335C"/>
    <w:rsid w:val="5F990328"/>
    <w:rsid w:val="606721D5"/>
    <w:rsid w:val="608A5EC3"/>
    <w:rsid w:val="60A725D1"/>
    <w:rsid w:val="60BB607C"/>
    <w:rsid w:val="60C82547"/>
    <w:rsid w:val="61024673"/>
    <w:rsid w:val="611D6D37"/>
    <w:rsid w:val="61E41603"/>
    <w:rsid w:val="61F66BA6"/>
    <w:rsid w:val="62922E0D"/>
    <w:rsid w:val="629B7F14"/>
    <w:rsid w:val="629D1EDE"/>
    <w:rsid w:val="62C751AC"/>
    <w:rsid w:val="62CA07F9"/>
    <w:rsid w:val="62FB4E56"/>
    <w:rsid w:val="62FD472A"/>
    <w:rsid w:val="63471D6C"/>
    <w:rsid w:val="635A1B7D"/>
    <w:rsid w:val="646C600B"/>
    <w:rsid w:val="65075D34"/>
    <w:rsid w:val="65622F6B"/>
    <w:rsid w:val="658E3D60"/>
    <w:rsid w:val="65982E30"/>
    <w:rsid w:val="65ED4F2A"/>
    <w:rsid w:val="660A5ADC"/>
    <w:rsid w:val="66417024"/>
    <w:rsid w:val="66772A46"/>
    <w:rsid w:val="66D659BE"/>
    <w:rsid w:val="66ED2D08"/>
    <w:rsid w:val="67A21D44"/>
    <w:rsid w:val="67A755AC"/>
    <w:rsid w:val="67CC6DC1"/>
    <w:rsid w:val="67FA1B80"/>
    <w:rsid w:val="68534DEC"/>
    <w:rsid w:val="68572B2F"/>
    <w:rsid w:val="6873723D"/>
    <w:rsid w:val="690B56C7"/>
    <w:rsid w:val="699F478D"/>
    <w:rsid w:val="69FF6FDA"/>
    <w:rsid w:val="6A426F73"/>
    <w:rsid w:val="6A4E7F61"/>
    <w:rsid w:val="6A554E4C"/>
    <w:rsid w:val="6A6E4160"/>
    <w:rsid w:val="6A8B4D12"/>
    <w:rsid w:val="6AB778B5"/>
    <w:rsid w:val="6AF503DD"/>
    <w:rsid w:val="6B1B42E7"/>
    <w:rsid w:val="6B364C7D"/>
    <w:rsid w:val="6B376C47"/>
    <w:rsid w:val="6BD10E4A"/>
    <w:rsid w:val="6BD36970"/>
    <w:rsid w:val="6BD821D8"/>
    <w:rsid w:val="6C0578D5"/>
    <w:rsid w:val="6C5A499B"/>
    <w:rsid w:val="6D374CDD"/>
    <w:rsid w:val="6D45564C"/>
    <w:rsid w:val="6D833B9F"/>
    <w:rsid w:val="6DC75BEB"/>
    <w:rsid w:val="6DD93FE6"/>
    <w:rsid w:val="6DE76703"/>
    <w:rsid w:val="6E296D1B"/>
    <w:rsid w:val="6E470F4F"/>
    <w:rsid w:val="6E5A6ED5"/>
    <w:rsid w:val="6E69536A"/>
    <w:rsid w:val="6EB505AF"/>
    <w:rsid w:val="6EB8009F"/>
    <w:rsid w:val="6EF70BC7"/>
    <w:rsid w:val="6EFA74BE"/>
    <w:rsid w:val="6F190B3E"/>
    <w:rsid w:val="6F2968A7"/>
    <w:rsid w:val="6F433E0D"/>
    <w:rsid w:val="6F614293"/>
    <w:rsid w:val="6F6618A9"/>
    <w:rsid w:val="6F865AA7"/>
    <w:rsid w:val="6FDD1261"/>
    <w:rsid w:val="700C41FF"/>
    <w:rsid w:val="70BA1EAD"/>
    <w:rsid w:val="70BD7BEF"/>
    <w:rsid w:val="70FF3D63"/>
    <w:rsid w:val="717F6C52"/>
    <w:rsid w:val="719426FE"/>
    <w:rsid w:val="719646C8"/>
    <w:rsid w:val="721E46BD"/>
    <w:rsid w:val="721E646B"/>
    <w:rsid w:val="7278765C"/>
    <w:rsid w:val="72874010"/>
    <w:rsid w:val="72A2709C"/>
    <w:rsid w:val="72AA7CFF"/>
    <w:rsid w:val="72AC7F1B"/>
    <w:rsid w:val="72B666A4"/>
    <w:rsid w:val="731C29AB"/>
    <w:rsid w:val="73522870"/>
    <w:rsid w:val="737253FE"/>
    <w:rsid w:val="73DE5EB2"/>
    <w:rsid w:val="73E07E7C"/>
    <w:rsid w:val="73E3796C"/>
    <w:rsid w:val="73EF00BF"/>
    <w:rsid w:val="740F42BD"/>
    <w:rsid w:val="741B7106"/>
    <w:rsid w:val="74381A66"/>
    <w:rsid w:val="7443665D"/>
    <w:rsid w:val="74714F78"/>
    <w:rsid w:val="747F00C7"/>
    <w:rsid w:val="74827185"/>
    <w:rsid w:val="75023E22"/>
    <w:rsid w:val="750D1BC6"/>
    <w:rsid w:val="753366D1"/>
    <w:rsid w:val="753C7334"/>
    <w:rsid w:val="753D30AC"/>
    <w:rsid w:val="7568637B"/>
    <w:rsid w:val="7592154F"/>
    <w:rsid w:val="759330EC"/>
    <w:rsid w:val="75D43A11"/>
    <w:rsid w:val="760836BA"/>
    <w:rsid w:val="762B1157"/>
    <w:rsid w:val="76371E5E"/>
    <w:rsid w:val="76593F16"/>
    <w:rsid w:val="765E152C"/>
    <w:rsid w:val="76742AFE"/>
    <w:rsid w:val="76780840"/>
    <w:rsid w:val="76A71125"/>
    <w:rsid w:val="76B13D52"/>
    <w:rsid w:val="770519A8"/>
    <w:rsid w:val="77253DF8"/>
    <w:rsid w:val="77387FCF"/>
    <w:rsid w:val="77613082"/>
    <w:rsid w:val="777A2396"/>
    <w:rsid w:val="77843214"/>
    <w:rsid w:val="77976AA4"/>
    <w:rsid w:val="77A13DC6"/>
    <w:rsid w:val="77A45665"/>
    <w:rsid w:val="77AD276B"/>
    <w:rsid w:val="77C14CD6"/>
    <w:rsid w:val="77D5581E"/>
    <w:rsid w:val="77FE2FC7"/>
    <w:rsid w:val="78177BE5"/>
    <w:rsid w:val="78964FAD"/>
    <w:rsid w:val="78DD0762"/>
    <w:rsid w:val="790A599B"/>
    <w:rsid w:val="791B6477"/>
    <w:rsid w:val="79876FEC"/>
    <w:rsid w:val="7A7206F1"/>
    <w:rsid w:val="7AAF2356"/>
    <w:rsid w:val="7AB21E46"/>
    <w:rsid w:val="7AC3028B"/>
    <w:rsid w:val="7ACF0C4A"/>
    <w:rsid w:val="7AF4245F"/>
    <w:rsid w:val="7B0A57DF"/>
    <w:rsid w:val="7B193C74"/>
    <w:rsid w:val="7B4927AB"/>
    <w:rsid w:val="7B6E3FBF"/>
    <w:rsid w:val="7B762E74"/>
    <w:rsid w:val="7B933A26"/>
    <w:rsid w:val="7BAE260E"/>
    <w:rsid w:val="7BBB0F8B"/>
    <w:rsid w:val="7BDC53CD"/>
    <w:rsid w:val="7C10151B"/>
    <w:rsid w:val="7C6D071B"/>
    <w:rsid w:val="7C7E46D6"/>
    <w:rsid w:val="7C907F65"/>
    <w:rsid w:val="7D142945"/>
    <w:rsid w:val="7D9615AC"/>
    <w:rsid w:val="7E24305B"/>
    <w:rsid w:val="7E6873EC"/>
    <w:rsid w:val="7E6D0CB1"/>
    <w:rsid w:val="7E6D67B0"/>
    <w:rsid w:val="7EB937A4"/>
    <w:rsid w:val="7EF42A2E"/>
    <w:rsid w:val="7EF70770"/>
    <w:rsid w:val="7F765B38"/>
    <w:rsid w:val="7F833DB1"/>
    <w:rsid w:val="7FBD3767"/>
    <w:rsid w:val="7FE86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page number"/>
    <w:basedOn w:val="6"/>
    <w:qFormat/>
    <w:uiPriority w:val="0"/>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等线" w:hAnsi="等线" w:eastAsia="宋体" w:cs="等线"/>
      <w:color w:val="000000"/>
      <w:sz w:val="24"/>
      <w:szCs w:val="24"/>
      <w:lang w:val="en-US" w:eastAsia="zh-CN" w:bidi="ar-SA"/>
    </w:rPr>
  </w:style>
  <w:style w:type="character" w:customStyle="1" w:styleId="11">
    <w:name w:val="页眉 字符"/>
    <w:basedOn w:val="6"/>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2468</Words>
  <Characters>2645</Characters>
  <Lines>113</Lines>
  <Paragraphs>126</Paragraphs>
  <TotalTime>1</TotalTime>
  <ScaleCrop>false</ScaleCrop>
  <LinksUpToDate>false</LinksUpToDate>
  <CharactersWithSpaces>2648</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2026-09-18T07:49:00Z</dcterms:created>
  <dc:creator>Administrator</dc:creator>
  <cp:lastModifiedBy>范范范</cp:lastModifiedBy>
  <dcterms:modified xsi:type="dcterms:W3CDTF">2026-09-18T08:17:20Z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B3CE97CB764446DB91374D88C78CF3C9_13</vt:lpwstr>
  </property>
  <property fmtid="{D5CDD505-2E9C-101B-9397-08002B2CF9AE}" pid="4" name="KSOTemplateDocerSaveRecord">
    <vt:lpwstr>eyJoZGlkIjoiNmNiOWZkNzVjZTIzNmQwYjc1ZjhkNWIzMzVkN2M3YWMiLCJ1c2VySWQiOiI0ODY1MDEyMDkifQ==</vt:lpwstr>
  </property>
</Properties>
</file>